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CS</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PŘÍLOHA II</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„PŘÍLOHA II</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POKYNY PRO PODÁVÁNÍ ZPRÁV O KAPITÁLU A KAPITÁLOVÝCH POŽADAVCÍCH</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ČÁST II: POKYNY K VYPLŇOVÁNÍ ŠABLON</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1.</w:t>
      </w:r>
      <w:r>
        <w:tab/>
        <w:t>Přehled kapitálové přiměřenosti</w:t>
      </w:r>
      <w:bookmarkEnd w:id="3"/>
      <w:r>
        <w:t xml:space="preserve">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1.1.</w:t>
      </w:r>
      <w:r>
        <w:tab/>
        <w:t>Obecné poznámky</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11</w:t>
      </w:r>
      <w:r>
        <w:fldChar w:fldCharType="end"/>
      </w:r>
      <w:r>
        <w:t>.</w:t>
      </w:r>
      <w:r>
        <w:tab/>
        <w:t xml:space="preserve">Šablony CA obsahují informace o čitatelích (kapitál, kapitál tier 1, kmenový kapitál tier 1), jmenovateli (kapitálové požadavky) a použití přechodných ustanovení nařízení (EU) č. 575/2013 a směrnice 2013/36/EU v rámci pilíře 1 a jsou rozděleny do pěti šablon: </w:t>
      </w:r>
    </w:p>
    <w:p w14:paraId="416DAF6C" w14:textId="77777777" w:rsidR="00CC7D2C" w:rsidRPr="002A677E" w:rsidRDefault="00CC7D2C" w:rsidP="00D1404A">
      <w:pPr>
        <w:pStyle w:val="InstructionsText2"/>
        <w:numPr>
          <w:ilvl w:val="0"/>
          <w:numId w:val="0"/>
        </w:numPr>
        <w:ind w:left="993"/>
      </w:pPr>
      <w:r>
        <w:t>a)</w:t>
      </w:r>
      <w:r>
        <w:tab/>
        <w:t>šablona CA1 obsahuje výši kapitálu institucí rozdělenou na položky, jejichž součtem se získá uvedená částka. Dosažená výše kapitálu zahrnuje souhrnný dopad použití přechodných ustanovení nařízení (EU) č. 575/2013 a směrnice 2013/36/EU podle druhu kapitálu;</w:t>
      </w:r>
    </w:p>
    <w:p w14:paraId="27EFA8F6" w14:textId="7AE1365E" w:rsidR="00CC7D2C" w:rsidRPr="002A677E" w:rsidRDefault="00CC7D2C" w:rsidP="00D1404A">
      <w:pPr>
        <w:pStyle w:val="InstructionsText2"/>
        <w:numPr>
          <w:ilvl w:val="0"/>
          <w:numId w:val="0"/>
        </w:numPr>
        <w:ind w:left="993"/>
      </w:pPr>
      <w:r>
        <w:t>b)</w:t>
      </w:r>
      <w:r>
        <w:tab/>
        <w:t>Šablona CA2 shrnuje TREA s minimálním výstupním prahem, TREA bez minimálního výstupního prahu a S-TREA podle definic v čl. 92 odst. 3, 4 a 5 nařízení (EU) č. 575/2013;</w:t>
      </w:r>
    </w:p>
    <w:p w14:paraId="3031C055" w14:textId="77777777" w:rsidR="00CC7D2C" w:rsidRPr="002A677E" w:rsidRDefault="00CC7D2C" w:rsidP="00D1404A">
      <w:pPr>
        <w:pStyle w:val="InstructionsText2"/>
        <w:numPr>
          <w:ilvl w:val="0"/>
          <w:numId w:val="0"/>
        </w:numPr>
        <w:ind w:left="993"/>
      </w:pPr>
      <w:r>
        <w:t>c)</w:t>
      </w:r>
      <w:r>
        <w:tab/>
        <w:t>v šabloně CA3 se uvádí poměry, jejichž minimální úroveň je stanovena v nařízení (EU) č. 575/2013, poměry v rámci pilíře 2 a některé další související údaje;</w:t>
      </w:r>
    </w:p>
    <w:p w14:paraId="7FAC43FB" w14:textId="77777777" w:rsidR="00CC7D2C" w:rsidRPr="002A677E" w:rsidRDefault="00CC7D2C" w:rsidP="00D1404A">
      <w:pPr>
        <w:pStyle w:val="InstructionsText2"/>
        <w:numPr>
          <w:ilvl w:val="0"/>
          <w:numId w:val="0"/>
        </w:numPr>
        <w:ind w:left="993"/>
      </w:pPr>
      <w:r>
        <w:t>d)</w:t>
      </w:r>
      <w:r>
        <w:tab/>
        <w:t xml:space="preserve">šablona CA4 obsahuje doplňkové položky potřebné mimo jiné pro výpočet položek v šabloně CA1 a také informace týkající se kapitálových rezerv podle směrnice 2013/36/EU; </w:t>
      </w:r>
    </w:p>
    <w:p w14:paraId="0EB902DA" w14:textId="77777777" w:rsidR="00CC7D2C" w:rsidRPr="002A677E" w:rsidRDefault="00CC7D2C" w:rsidP="00D1404A">
      <w:pPr>
        <w:pStyle w:val="InstructionsText2"/>
        <w:numPr>
          <w:ilvl w:val="0"/>
          <w:numId w:val="0"/>
        </w:numPr>
        <w:ind w:left="993"/>
      </w:pPr>
      <w:r>
        <w:t>e)</w:t>
      </w:r>
      <w:r>
        <w:tab/>
        <w:t xml:space="preserve">šablona CA5 obsahuje údaje potřebné pro výpočet dopadu použití přechodných ustanovení nařízení (EU) č. 575/2013 na kapitál. Jakmile </w:t>
      </w:r>
      <w:proofErr w:type="gramStart"/>
      <w:r>
        <w:t>vyprší</w:t>
      </w:r>
      <w:proofErr w:type="gramEnd"/>
      <w:r>
        <w:t xml:space="preserve"> platnost uvedených přechodných ustanovení, šablona CA5 zanikne.</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12</w:t>
      </w:r>
      <w:r>
        <w:fldChar w:fldCharType="end"/>
      </w:r>
      <w:r>
        <w:t>.</w:t>
      </w:r>
      <w:r>
        <w:tab/>
        <w:t>Šablony mají používat všechny vykazující subjekty bez ohledu na to, jakými účetními standardy se řídí, přestože některé položky v čitateli jsou charakteristické pro subjekty uplatňující pravidla oceňování typu IAS/IFRS. Údaj udávaný ve jmenovateli obecně souvisí s konečnými výsledky uvedenými v odpovídajících šablonách pro výpočet celkového objemu rizikové expozice.</w:t>
      </w:r>
    </w:p>
    <w:p w14:paraId="596C5A8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13</w:t>
      </w:r>
      <w:r>
        <w:fldChar w:fldCharType="end"/>
      </w:r>
      <w:r>
        <w:t>.</w:t>
      </w:r>
      <w:r>
        <w:tab/>
        <w:t xml:space="preserve">Celkový kapitál se skládá z různých druhů kapitálu: z kapitálu tier 1 (T1), který je součtem kmenového kapitálu tier 1 (CET1) a vedlejšího kapitálu tier 1 (AT1), a z kapitálu tier 2 (T2). </w:t>
      </w:r>
    </w:p>
    <w:p w14:paraId="2CD8D0AB" w14:textId="77777777" w:rsidR="00CC7D2C" w:rsidRPr="002A677E" w:rsidRDefault="00CC7D2C" w:rsidP="00D1404A">
      <w:pPr>
        <w:pStyle w:val="InstructionsText2"/>
        <w:numPr>
          <w:ilvl w:val="0"/>
          <w:numId w:val="0"/>
        </w:numPr>
      </w:pPr>
      <w:r>
        <w:lastRenderedPageBreak/>
        <w:fldChar w:fldCharType="begin"/>
      </w:r>
      <w:r>
        <w:instrText>seq paragraphs</w:instrText>
      </w:r>
      <w:r>
        <w:fldChar w:fldCharType="separate"/>
      </w:r>
      <w:r>
        <w:t>14</w:t>
      </w:r>
      <w:r>
        <w:fldChar w:fldCharType="end"/>
      </w:r>
      <w:r>
        <w:t>.</w:t>
      </w:r>
      <w:r>
        <w:tab/>
        <w:t>Použití přechodných ustanovení nařízení (EU) č. 575/2013 a směrnice 2013/36/EU se v šablonách CA zohledňuje takto:</w:t>
      </w:r>
    </w:p>
    <w:p w14:paraId="14CA06BE" w14:textId="77777777" w:rsidR="00CC7D2C" w:rsidRPr="002A677E" w:rsidRDefault="00CC7D2C" w:rsidP="00D1404A">
      <w:pPr>
        <w:pStyle w:val="InstructionsText2"/>
        <w:numPr>
          <w:ilvl w:val="0"/>
          <w:numId w:val="0"/>
        </w:numPr>
        <w:ind w:left="993"/>
      </w:pPr>
      <w:r>
        <w:t>a)</w:t>
      </w:r>
      <w:r>
        <w:tab/>
        <w:t>položky v šabloně CA1 se obecně uvádějí bez přechodných úprav. Znamená to, že číselné hodnoty v položkách šablony CA1 se vypočítávají podle závěrečných ustanovení (tj. jako kdyby neexistovala přechodná ustanovení) s výjimkou položek, které shrnují dopad těchto přechodných ustanovení. U každého druhu kapitálu (tj. kmenový kapitál tier 1, vedlejší kapitál tier 1 a kapitál tier 2) jsou tři různé položky, v nichž jsou zohledněny všechny úpravy vyplývající z těchto přechodných ustanovení;</w:t>
      </w:r>
    </w:p>
    <w:p w14:paraId="2571599A" w14:textId="77777777" w:rsidR="00CC7D2C" w:rsidRPr="002A677E" w:rsidRDefault="00CC7D2C" w:rsidP="00D1404A">
      <w:pPr>
        <w:pStyle w:val="InstructionsText2"/>
        <w:numPr>
          <w:ilvl w:val="0"/>
          <w:numId w:val="0"/>
        </w:numPr>
        <w:ind w:left="993"/>
      </w:pPr>
      <w:r>
        <w:t>b)</w:t>
      </w:r>
      <w:r>
        <w:tab/>
        <w:t>přechodná ustanovení mohou způsobit rovněž nedostatek vedlejšího kapitálu tier 1 a kapitálu tier 2 (tj. odpočty nad rámec vedlejšího kapitálu tier 1 a kapitálu tier 2 upravené v uvedeném pořadí v čl. 36 odst. 1 písm. j) a čl. 56 písm. e) nařízení (EU) č. 575/2013), a proto mohou položky, které zahrnují tyto nedostatky, nepřímo odrážet dopad přechodných ustanovení;</w:t>
      </w:r>
    </w:p>
    <w:p w14:paraId="088733BA" w14:textId="77777777" w:rsidR="00CC7D2C" w:rsidRPr="002A677E" w:rsidRDefault="00CC7D2C" w:rsidP="00D1404A">
      <w:pPr>
        <w:pStyle w:val="InstructionsText2"/>
        <w:numPr>
          <w:ilvl w:val="0"/>
          <w:numId w:val="0"/>
        </w:numPr>
        <w:ind w:left="993"/>
      </w:pPr>
      <w:r>
        <w:t>c)</w:t>
      </w:r>
      <w:r>
        <w:tab/>
        <w:t xml:space="preserve">šablona CA5 se používá výhradně pro podávání zpráv o dopadu použití přechodných ustanovení nařízení (EU) č. 575/2013, která mají dopad na kapitál.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15</w:t>
      </w:r>
      <w:r>
        <w:fldChar w:fldCharType="end"/>
      </w:r>
      <w:r>
        <w:t>.</w:t>
      </w:r>
      <w:r>
        <w:tab/>
        <w:t xml:space="preserve">Postup v případě požadavků v rámci pilíře II se může v rámci Unie lišit (ustanovení čl. 104a odst. 1 směrnice 2013/36/EU musí být provedeno ve vnitrostátních právních předpisech). Do vykazování solventnosti vyžadovaného podle nařízení (EU) č. 575/2013 se zahrne pouze dopad požadavků v rámci pilíře II na solventnostní poměr nebo cílový poměr. </w:t>
      </w:r>
    </w:p>
    <w:p w14:paraId="10043DAC" w14:textId="77777777" w:rsidR="00CC7D2C" w:rsidRPr="002A677E" w:rsidRDefault="00CC7D2C" w:rsidP="00D1404A">
      <w:pPr>
        <w:pStyle w:val="InstructionsText2"/>
        <w:numPr>
          <w:ilvl w:val="0"/>
          <w:numId w:val="0"/>
        </w:numPr>
        <w:ind w:left="993"/>
      </w:pPr>
      <w:r>
        <w:t>a)</w:t>
      </w:r>
      <w:r>
        <w:tab/>
        <w:t>Šablony CA1, CA2 nebo CA5 obsahují pouze údaje týkající se otázek v rámci pilíře I.</w:t>
      </w:r>
    </w:p>
    <w:p w14:paraId="0DBE98C6" w14:textId="77777777" w:rsidR="00CC7D2C" w:rsidRPr="002A677E" w:rsidRDefault="00CC7D2C" w:rsidP="00D1404A">
      <w:pPr>
        <w:pStyle w:val="InstructionsText2"/>
        <w:numPr>
          <w:ilvl w:val="0"/>
          <w:numId w:val="0"/>
        </w:numPr>
        <w:ind w:left="993"/>
      </w:pPr>
      <w:r>
        <w:t>b)</w:t>
      </w:r>
      <w:r>
        <w:tab/>
        <w:t xml:space="preserve">Šablona CA3 zahrnuje souhrnný dopad dodatečných požadavků dle pilíře II, které se týkají </w:t>
      </w:r>
      <w:proofErr w:type="spellStart"/>
      <w:r>
        <w:t>solventnostního</w:t>
      </w:r>
      <w:proofErr w:type="spellEnd"/>
      <w:r>
        <w:t xml:space="preserve"> poměru. Soustředí se zejména na samotné cílové poměry. Nemá žádnou další vazbu na šablony CA1, CA2 nebo CA5.</w:t>
      </w:r>
    </w:p>
    <w:p w14:paraId="63F79AA0" w14:textId="77777777" w:rsidR="00CC7D2C" w:rsidRDefault="00CC7D2C" w:rsidP="00D1404A">
      <w:pPr>
        <w:pStyle w:val="InstructionsText2"/>
        <w:numPr>
          <w:ilvl w:val="0"/>
          <w:numId w:val="0"/>
        </w:numPr>
        <w:ind w:left="993"/>
      </w:pPr>
      <w:r>
        <w:t>c)</w:t>
      </w:r>
      <w:r>
        <w:tab/>
        <w:t>Šablona CA4 obsahuje jednu buňku týkající se dodatečných kapitálových požadavků vztahujících se k pilíři II. Tato buňka nemá přes pravidla pro ověřování žádnou vazbu na kapitálové poměry uváděné v šabloně CA3 a odráží čl. 104a odst. 1 směrnice 2013/36/EU, v němž jsou výslovně uvedeny dodatečné kapitálové požadavky jako jedna z možností pro rozhodnutí v rámci pilíře II.</w:t>
      </w:r>
    </w:p>
    <w:p w14:paraId="2CF3DCE5" w14:textId="22DB17A6" w:rsidR="00CC7D2C" w:rsidRDefault="00CC7D2C" w:rsidP="00D1404A">
      <w:pPr>
        <w:pStyle w:val="InstructionsText2"/>
        <w:numPr>
          <w:ilvl w:val="0"/>
          <w:numId w:val="0"/>
        </w:numPr>
      </w:pPr>
      <w:r>
        <w:t xml:space="preserve">15a. Uplatnění požadavků na minimální výstupní práh může ovlivnit celkový objem rizikové expozice (TREA) i kapitálové požadavky, jejichž výpočet na TREA závisí: kapitálové poměry, požadavky pilíře 2 a kapitálové rezervy. Pokud příslušný orgán uplatnil výjimku stanovenou v čl. 92 odst. 3 druhém pododstavci nařízení (EU) č. 575/2013, vykazují se  informace o požadavcích na minimální výstupní práh odpovídajícím způsobem. </w:t>
      </w:r>
    </w:p>
    <w:p w14:paraId="226DFED5" w14:textId="77777777" w:rsidR="00CC7D2C" w:rsidRPr="005B630F" w:rsidRDefault="00CC7D2C" w:rsidP="00D1404A">
      <w:pPr>
        <w:pStyle w:val="InstructionsText2"/>
        <w:numPr>
          <w:ilvl w:val="0"/>
          <w:numId w:val="0"/>
        </w:numPr>
        <w:ind w:left="993"/>
      </w:pPr>
      <w:r>
        <w:t>a)</w:t>
      </w:r>
      <w:r>
        <w:tab/>
        <w:t>Šablona CA2 obsahuje celkové objemy rizikových expozic s minimálním výstupním prahem, bez minimálního výstupního prahu a standardizované. TREA s minimálním výstupním prahem a standardizovaná TREA odráží účinek přechodných opatření s ohledem na minimální výstupní práh podle článku 465 nařízení (EU) č. 575/2013.</w:t>
      </w:r>
    </w:p>
    <w:p w14:paraId="70D5E959" w14:textId="77777777" w:rsidR="00CC7D2C" w:rsidRDefault="00CC7D2C" w:rsidP="00D1404A">
      <w:pPr>
        <w:pStyle w:val="InstructionsText2"/>
        <w:numPr>
          <w:ilvl w:val="0"/>
          <w:numId w:val="0"/>
        </w:numPr>
        <w:ind w:left="993"/>
      </w:pPr>
      <w:r>
        <w:lastRenderedPageBreak/>
        <w:t>b)</w:t>
      </w:r>
      <w:r>
        <w:tab/>
        <w:t>Šablona CA3 obsahuje kapitálové poměry a kapitálové poměry s minimálním výstupním prahem a bez něj a celkový kapitálový požadavek procesu přezkumu a hodnocení v rámci dohledu (TSCR) před stropem stanoveným v článku 104a směrnice 2013/36/EU a po něm a kapitálové poměry bez uplatnění přechodných opatření pro minimální výstupní práh.</w:t>
      </w:r>
    </w:p>
    <w:p w14:paraId="5965EF78" w14:textId="77777777" w:rsidR="00CC7D2C" w:rsidRDefault="00CC7D2C" w:rsidP="00D1404A">
      <w:pPr>
        <w:pStyle w:val="InstructionsText2"/>
        <w:numPr>
          <w:ilvl w:val="0"/>
          <w:numId w:val="0"/>
        </w:numPr>
        <w:ind w:left="993"/>
      </w:pPr>
      <w:r>
        <w:t>15b. Šablona CA4 obsahuje objemy úprav s ohledem na práh s uplatněním přechodných opatření pro minimální výstupní práh a bez jejich uplatnění, jakož i použitelné procento minimálního výstupního prahu podle čl. 465 odst. 1 nařízení (EU) č. 575/2013.</w:t>
      </w:r>
    </w:p>
    <w:p w14:paraId="36A0BD6A" w14:textId="5DE2A828" w:rsidR="00CC7D2C" w:rsidRDefault="00DA32D5" w:rsidP="00A85510">
      <w:pPr>
        <w:pStyle w:val="InstructionsText2"/>
        <w:numPr>
          <w:ilvl w:val="0"/>
          <w:numId w:val="0"/>
        </w:numPr>
        <w:rPr>
          <w:noProof/>
        </w:rPr>
      </w:pPr>
      <w:r>
        <w:t>15c.  Šablona C 06.02 obsahuje úpravu celkového objemu rizikové expozice s ohledem na práh v případě subjektů zahrnutých do konsolidace.</w:t>
      </w:r>
    </w:p>
    <w:p w14:paraId="4F8F57C9" w14:textId="572FD9C8" w:rsidR="00CC7D2C" w:rsidRPr="002A677E" w:rsidRDefault="00CC7D2C" w:rsidP="00A85510">
      <w:pPr>
        <w:pStyle w:val="InstructionsText2"/>
        <w:numPr>
          <w:ilvl w:val="0"/>
          <w:numId w:val="0"/>
        </w:numPr>
        <w:rPr>
          <w:noProof/>
        </w:rPr>
      </w:pPr>
      <w:r>
        <w:t xml:space="preserve">15d. Šablony C10.00, C13.01, C14.01 a C34.02 obsahují informace o standardizovaných hodnotách expozic a standardizovaném objemu rizikově vážených expozic vypočtených v souladu s čl. 92 odst. 5 nařízení (EU) č. 575/2013 a případně o dopadu přechodných opatření pro výpočet S-TREA.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1.2</w:t>
      </w:r>
      <w:r>
        <w:tab/>
        <w:t>C 01.00 – KAPITÁL (CA1)</w:t>
      </w:r>
      <w:bookmarkEnd w:id="10"/>
      <w:bookmarkEnd w:id="11"/>
      <w:r>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1.2.1</w:t>
      </w:r>
      <w:r>
        <w:tab/>
        <w:t>Pokyny pro konkrétní</w:t>
      </w:r>
      <w:bookmarkEnd w:id="14"/>
      <w:bookmarkEnd w:id="15"/>
      <w:r>
        <w:t xml:space="preserve"> pozice</w:t>
      </w:r>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Řádek</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Kapitál</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118 a článku 72 </w:t>
            </w:r>
            <w:r>
              <w:t>nařízení (EU) č. 575/2013</w:t>
            </w:r>
          </w:p>
          <w:p w14:paraId="48FA791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Kapitál instituce je součtem jejího kapitálu tier 1 a tier 2.</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Kapitál tier 1</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25 </w:t>
            </w:r>
            <w:r>
              <w:t>nařízení (EU) č. 575/2013</w:t>
            </w:r>
          </w:p>
          <w:p w14:paraId="09B0C85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Kapitál tier 1 je součtem kmenového kapitálu tier 1 a vedlejšího kapitálu tier 1.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Kmenový kapitál tier 1</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50 </w:t>
            </w:r>
            <w:r>
              <w:t>nařízení (EU) č. 575/2013</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Kapitálové nástroje a emisní ážio způsobilé jako kmenový kapitál tier 1</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26 odst. 1 písm. a) a b), článků 27 až 30, čl. 36 odst. 1 písm. f) a článku 42 </w:t>
            </w:r>
            <w:r>
              <w:t>nařízení (EU) č. 575/2013.</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Zcela splacené kapitálové nástroje</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26 odst. 1 písm. a) a článků 27 až 31</w:t>
            </w:r>
            <w:r>
              <w:t xml:space="preserve"> nařízení (EU) č. 575/2013</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Zahrnují se kapitálové nástroje vzájemných institucí, družstev nebo podobných institucí (články 27 a 29 </w:t>
            </w:r>
            <w:r>
              <w:t>nařízení (EU) č. 575/2013</w:t>
            </w:r>
            <w:r>
              <w:rPr>
                <w:rStyle w:val="FormatvorlageInstructionsTabelleText"/>
                <w:rFonts w:ascii="Times New Roman" w:hAnsi="Times New Roman"/>
                <w:sz w:val="24"/>
              </w:rPr>
              <w:t>)</w:t>
            </w:r>
            <w:r>
              <w:t>.</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Emisní ážio související s těmito nástroji není zahrnuto.</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Zahrnují se kapitálové nástroje upsané veřejnými orgány v mimořádných situacích, jsou-li splněny všechny podmínky článku 31 </w:t>
            </w:r>
            <w:r>
              <w:t>nařízení (EU) č. 575/2013</w:t>
            </w:r>
            <w:r>
              <w:rPr>
                <w:rStyle w:val="FormatvorlageInstructionsTabelleText"/>
                <w:rFonts w:ascii="Times New Roman" w:hAnsi="Times New Roman"/>
                <w:sz w:val="24"/>
              </w:rPr>
              <w:t>.</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Z toho: kapitálové nástroje upsané veřejnými orgány v mimořádných situacích</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31 </w:t>
            </w:r>
            <w:r>
              <w:t>nařízení (EU) č. 575/2013</w:t>
            </w:r>
          </w:p>
          <w:p w14:paraId="3BA8990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 kmenovém kapitálu tier 1 se zahrnují kapitálové nástroje upsané veřejnými orgány v mimořádných situacích, jsou-li splněny všechny podmínky článku 31 </w:t>
            </w:r>
            <w:r>
              <w:t>nařízení (EU) č. 575/2013</w:t>
            </w:r>
            <w:r>
              <w:rPr>
                <w:rStyle w:val="InstructionsTabelleberschrift"/>
                <w:rFonts w:ascii="Times New Roman" w:hAnsi="Times New Roman"/>
                <w:b w:val="0"/>
                <w:sz w:val="24"/>
                <w:u w:val="none"/>
              </w:rPr>
              <w:t>.</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Doplňková položka: nezpůsobilé kapitálové nástroje</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28 odst. 1 písm. b), l) a m) </w:t>
            </w:r>
            <w:r>
              <w:t>nařízení (EU) č. 575/2013.</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Emisní ážio</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124, čl. 26 odst. 1 písm. b) </w:t>
            </w:r>
            <w:r>
              <w:t>nařízení (EU) č. 575/2013</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Emisní ážio má stejný význam jako v použitelném účetním standardu.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v této položce, je částí vztahující se k položce „Zcela splacené kapitálové nástroje“.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Vlastní nástroje zahrnované do kmenového kapitálu tier 1</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f) a článku 42 </w:t>
            </w:r>
            <w:r>
              <w:t>nařízení (EU) č. 575/2013</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Vlastní nástroje zahrnované do kmenového kapitálu tier 1 držené vykazující institucí nebo skupinou k datu vykazování a hodnoty nástrojů zahrnovaných do kmenového kapitálu tier 1, které mají být odečteny v souladu s čl. 28 odst. 2 nařízení Komise v přenesené pravomoci (EU) č. 241/2014</w:t>
            </w:r>
            <w:r>
              <w:rPr>
                <w:rStyle w:val="FootnoteReference"/>
                <w:bCs/>
                <w:vertAlign w:val="superscript"/>
              </w:rPr>
              <w:footnoteReference w:id="1"/>
            </w:r>
            <w:r>
              <w:rPr>
                <w:rStyle w:val="FormatvorlageInstructionsTabelleText"/>
                <w:rFonts w:ascii="Times New Roman" w:hAnsi="Times New Roman"/>
                <w:sz w:val="24"/>
              </w:rPr>
              <w:t xml:space="preserve">. S výhradou výjimek uvedených v článku 42 </w:t>
            </w:r>
            <w:r>
              <w:t>nařízení (EU) č. 575/2013</w:t>
            </w:r>
            <w:r>
              <w:rPr>
                <w:rStyle w:val="FormatvorlageInstructionsTabelleText"/>
                <w:rFonts w:ascii="Times New Roman" w:hAnsi="Times New Roman"/>
                <w:sz w:val="24"/>
              </w:rPr>
              <w:t>.</w:t>
            </w:r>
          </w:p>
          <w:p w14:paraId="5CADFB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nevykazují držby akcií zahrnuté v položce „Nezpůsobilé kapitálové nástroje“.</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zahrnuje emisní ážio související s vlastními akciemi.</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Položky 1.1.1.1.4 až 1.1.1.1.4.3 nezahrnují skutečné nebo podmíněné závazky odkoupit vlastní nástroje zahrnované do kmenového kapitálu tier 1. Skutečné nebo podmíněné závazky odkoupit vlastní nástroje zahrnované do kmenového kapitálu tier 1 se vykazují samostatně v položce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Přímé kapitálové investice do nástrojů zahrnovaných do kmenového kapitálu tier 1</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f) a článku 42 </w:t>
            </w:r>
            <w:r>
              <w:t>nařízení (EU) č. 575/2013</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Nástroje zahrnované do kmenového kapitálu tier 1 uvedené v položce 1.1.1.1 držené institucemi v rámci konsolidované skupiny a hodnoty nástrojů zahrnovaných do kmenového kapitálu tier 1, které mají být odečteny v souladu s čl. 28 odst. 2 nařízení Komise v přenesené pravomoci (EU) č. 241/2014.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Objem, který má být vykázán, zahrnuje kapitálové investice v obchodním portfoliu vypočítané na základě čisté dlouhé pozice, jak je uvedeno v čl. 42 písm. a)</w:t>
            </w:r>
            <w:r>
              <w:t xml:space="preserve"> nařízení (EU) č. 575/2013</w:t>
            </w:r>
            <w:r>
              <w:rPr>
                <w:rStyle w:val="FormatvorlageInstructionsTabelleText"/>
                <w:rFonts w:ascii="Times New Roman" w:hAnsi="Times New Roman"/>
                <w:sz w:val="24"/>
              </w:rPr>
              <w:t>.</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Nepřímé kapitálové investice do nástrojů zahrnovaných do kmenového kapitálu tier 1</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114, čl. 36 odst. 1 písm. f) a článku 42 </w:t>
            </w:r>
            <w:r>
              <w:t>nařízení (EU) č. 575/2013</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Syntetické kapitálové investice do nástrojů zahrnovaných do kmenového kapitálu tier 1</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Ustanovení čl. 4 odst. 1 bodu 126, čl. 36 odst. 1 písm. f) a článku 42 </w:t>
            </w:r>
            <w:r>
              <w:t>nařízení (EU) č. 575/2013</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Skutečné nebo podmíněné závazky odkoupit vlastní nástroje zahrnované do kmenového kapitálu tier 1</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f) a článku 42 </w:t>
            </w:r>
            <w:r>
              <w:t>nařízení (EU) č. 575/2013</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Podle čl. 36 odst. 1 </w:t>
            </w:r>
            <w:r>
              <w:rPr>
                <w:rStyle w:val="FormatvorlageInstructionsTabelleText"/>
                <w:rFonts w:ascii="Times New Roman" w:hAnsi="Times New Roman"/>
                <w:sz w:val="24"/>
              </w:rPr>
              <w:t xml:space="preserve">písm. f) </w:t>
            </w:r>
            <w:r>
              <w:t>nařízení (EU) č. 575/2013</w:t>
            </w:r>
            <w:r>
              <w:rPr>
                <w:rStyle w:val="InstructionsTabelleberschrift"/>
                <w:rFonts w:ascii="Times New Roman" w:hAnsi="Times New Roman"/>
                <w:b w:val="0"/>
                <w:sz w:val="24"/>
                <w:u w:val="none"/>
              </w:rPr>
              <w:t xml:space="preserve"> se provede </w:t>
            </w:r>
            <w:r>
              <w:t>odpočet „vlastních nástrojů zahrnovaných do kmenového kapitálu tier 1, které je instituce povinna odkoupit na základě skutečného nebo podmíněného závazku plynoucího z existující smlouvy“.</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Nerozdělený zisk</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26 odst. 1 písm. c) a čl. 26 odst. 2 </w:t>
            </w:r>
            <w:r>
              <w:t>nařízení (EU) č. 575/2013</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Nerozdělený zisk zahrnuje nerozdělený zisk z předchozího roku, k němuž se přičte způsobilý mezitímní zisk nebo zisk ke konci roku.</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Nerozdělený zisk z předchozích let</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123 a čl. 26 odst. 1 písm. c) </w:t>
            </w:r>
            <w:r>
              <w:t>nařízení (EU) č. 575/2013</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čl. 4 odst. 1 bodu 123 </w:t>
            </w:r>
            <w:r>
              <w:t xml:space="preserve">nařízení (EU) č. 575/2013 </w:t>
            </w:r>
            <w:r>
              <w:rPr>
                <w:rStyle w:val="FormatvorlageInstructionsTabelleText"/>
                <w:rFonts w:ascii="Times New Roman" w:hAnsi="Times New Roman"/>
                <w:sz w:val="24"/>
              </w:rPr>
              <w:t>je nerozdělený zisk definován jako „zisky a ztráty z předchozích období po započtení hospodářského výsledku podle použitelného účetního rámce“.</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Způsobilý zisk nebo ztráta</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121, čl. 26 odst. 2 a čl. 36 odst. 1 písm. a) </w:t>
            </w:r>
            <w:r>
              <w:t>nařízení (EU) č. 575/2013</w:t>
            </w:r>
          </w:p>
          <w:p w14:paraId="45CE0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Podle čl. 26 odst. 2 </w:t>
            </w:r>
            <w:r>
              <w:t>nařízení (EU) č. 575/2013</w:t>
            </w:r>
            <w:r>
              <w:rPr>
                <w:rStyle w:val="FormatvorlageInstructionsTabelleText"/>
                <w:rFonts w:ascii="Times New Roman" w:hAnsi="Times New Roman"/>
                <w:sz w:val="24"/>
              </w:rPr>
              <w:t xml:space="preserve"> je možno zahrnout do nerozděleného zisku mezitímní zisk nebo zisk ke konci roku, a to s předchozím svolením příslušného orgánu, pokud jsou splněny určité podmínky.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Naopak ztráty se odečtou od kmenového kapitálu tier 1, jak je uvedeno v čl. 36 odst. 1 písm. a) </w:t>
            </w:r>
            <w:r>
              <w:t>nařízení (EU) č. 575/2013</w:t>
            </w:r>
            <w:r>
              <w:rPr>
                <w:rStyle w:val="FormatvorlageInstructionsTabelleText"/>
                <w:rFonts w:ascii="Times New Roman" w:hAnsi="Times New Roman"/>
                <w:sz w:val="24"/>
              </w:rPr>
              <w:t>.</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Zisk nebo ztráta připadající vlastníkům mateřského podniku</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26 odst. 2 a čl. 36 odst. 1 písm. a) </w:t>
            </w:r>
            <w:r>
              <w:t>nařízení (EU) č. 575/2013</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představuje zisk nebo ztrátu uvedenou ve výkazu zisků a ztrát.</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Část mezitímního zisku nebo zisku ke konci roku, která není způsobilá</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26 odst. 2 </w:t>
            </w:r>
            <w:r>
              <w:t>nařízení (EU) č. 575/2013</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neuvede žádná číselná hodnota, pokud instituce pro dané referenční období vykázala ztráty, neboť tyto ztráty se v plném rozsahu odečtou od kmenového kapitálu tier 1.</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Vykáže-li instituce zisky, vykáže se ta část, která není způsobilá podle čl. 26 odst. 2 </w:t>
            </w:r>
            <w:r>
              <w:t xml:space="preserve">nařízení (EU) č. 575/2013 </w:t>
            </w:r>
            <w:r>
              <w:rPr>
                <w:rStyle w:val="FormatvorlageInstructionsTabelleText"/>
                <w:rFonts w:ascii="Times New Roman" w:hAnsi="Times New Roman"/>
                <w:sz w:val="24"/>
              </w:rPr>
              <w:t>(tj. neauditované zisky a předvídatelné výplaty nebo dividendy).</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 třeba mít na zřeteli, že v případě zisků je třeba odvodit minimálně výši záloh na dividendy.</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Kumulovaný ostatní úplný výsledek</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100 a čl. 26 odst. 1 písm. d) </w:t>
            </w:r>
            <w:r>
              <w:t>nařízení (EU) č. 575/2013</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musí být očištěna o veškeré daňové platby předvídatelné v době výpočtu a před použitím obezřetnostních filtrů. Částka, která má být vykázána, se stanoví v souladu s čl. 13 odst. 4 nařízení Komise v přenesené pravomoci (EU) č. 241/2014.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Ostatní fondy</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117 a čl. 26 odst. 1 písm. e) </w:t>
            </w:r>
            <w:r>
              <w:t>nařízení (EU) č. 575/2013</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Ostatní fondy jsou v </w:t>
            </w:r>
            <w:r>
              <w:t>nařízení (EU) č. 575/2013</w:t>
            </w:r>
            <w:r>
              <w:rPr>
                <w:rStyle w:val="FormatvorlageInstructionsTabelleText"/>
                <w:rFonts w:ascii="Times New Roman" w:hAnsi="Times New Roman"/>
                <w:sz w:val="24"/>
              </w:rPr>
              <w:t xml:space="preserve"> definovány jako „fondy ve smyslu použitelného účetního rámce, které musí být zveřejněny podle tohoto použitelného účetního rámce a nezahrnují částky již zahrnuté do kumulovaného ostatního úplného výsledku hospodaření nebo nerozděleného zisku“.</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Částka, která má být vykázána, musí být očištěna o veškeré daňové platby předvídatelné v době výpočtu.</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Rezervní fondy na všeobecná bankovní rizika</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112 a čl. 26 odst. 1 písm. f) </w:t>
            </w:r>
            <w:r>
              <w:t>nařízení (EU) č. 575/2013</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38</w:t>
            </w:r>
            <w:r>
              <w:t xml:space="preserve"> směrnice Rady 86/635/EHS </w:t>
            </w:r>
            <w:r>
              <w:rPr>
                <w:rStyle w:val="FormatvorlageInstructionsTabelleText"/>
                <w:rFonts w:ascii="Times New Roman" w:hAnsi="Times New Roman"/>
                <w:sz w:val="24"/>
              </w:rPr>
              <w:t>definuje fondy všeobecných bankovních rizik jako „částky, o kterých úvěrová instituce rozhodne, že budou vyčleněny na pokrytí takových rizik, pokud je to žádoucí z hlediska obezřetnosti s ohledem na zvláštní rizika spojená s bankovnictvím“.</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musí být očištěna o veškeré daňové platby předvídatelné v době výpočtu.</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Přechodné úpravy provedené v důsledku nástrojů zahrnovaných do kmenového kapitálu tier 1, pro něž platí zachování právních účinků</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483 odst. 1, 2 a 3 a článků 484 až 487 </w:t>
            </w:r>
            <w:r>
              <w:t>nařízení (EU) č. 575/2013</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kapitálových nástrojů, které díky přechodnému zachování právních účinků nadále odpovídají kmenovému kapitálu tier 1. Částka, která má být vykázána, se přímo přejímá ze šablony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Menšinový podíl uznaný v kmenovém kapitálu tier 1</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120 a článku 84 </w:t>
            </w:r>
            <w:r>
              <w:t>nařízení (EU) č. 575/2013</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Součet všech částek menšinových podílů dceřiných podniků, který se zahrne do konsolidovaného kmenového kapitálu tier 1.</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Přechodné úpravy provedené s ohledem na dodatečné menšinové podíly</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Články 479 a 480 </w:t>
            </w:r>
            <w:r>
              <w:t>nařízení (EU) č. 575/2013</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menšinových podílů provedené v důsledku přechodných ustanovení. Tato položka se přejímá přímo ze šablony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Úpravy kmenového kapitálu tier 1 s ohledem na obezřetnostní filtry</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Články 32 až 35 </w:t>
            </w:r>
            <w:r>
              <w:t xml:space="preserve">nařízení (EU) č. 575/2013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Zvýšení vlastního kapitálu plynoucí ze sekuritizovaných aktiv</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32 odst. 1 </w:t>
            </w:r>
            <w:r>
              <w:t>nařízení (EU) č. 575/2013</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je zvýšením vlastního kapitálu instituce plynoucím ze sekuritizovaných aktiv, a to v souladu s použitelným účetním standardem.</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Tato položka zahrnuje např. budoucí maržový příjem, který pro instituce znamená zisk z prodeje, nebo jedná-li se o původce sekuritizace, čistý zisk plynoucí z kapitalizace budoucího příjmu ze sekuritizovaných aktiv, která zajišťují úvěrové posílení pozic v sekuritizaci.</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Zajištění peněžních toků</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33 odst. 1 písm. a) </w:t>
            </w:r>
            <w:r>
              <w:t>nařízení (EU) č. 575/2013</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může být kladná, nebo záporná. Částka je kladná, jestliže má zajištění peněžních toků za následek ztrátu (tj. snižuje vlastní kapitál), a naopak. Uvede se tedy opačné znaménko než to, které je použito v účetních výkazech.</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musí být očištěna o veškeré daňové platby očekávané v době výpočtu.</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Kumulativní zisky a ztráty ze závazků oceněných reálnou hodnotou, které vyplývají ze změn ve vlastním úvěrovém riziku</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33 odst. 1 písm. b) </w:t>
            </w:r>
            <w:r>
              <w:t>nařízení (EU) č. 575/2013</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může být kladná, nebo záporná. Částka je kladná, jestliže v důsledku změn ve vlastním úvěrovém riziku došlo ke ztrátě (tj. ke snížení vlastního kapitálu), a naopak. Uvede se tedy opačné znaménko než to, které je použito v účetních výkazech.</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Neauditovaný zisk se do této položky nezahrnuje.</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V reálné hodnotě vyjádřené zisky a ztráty, které vyplývají z vlastního úvěrového rizika instituce v souvislosti s derivátovými závazky</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33 odst. 1 písm. c) a čl. 33 odst. 2 </w:t>
            </w:r>
            <w:r>
              <w:t>nařízení (EU) č. 575/2013</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může být kladná, nebo záporná. Částka je kladná, jestliže v důsledku změn ve vlastním úvěrovém riziku došlo ke ztrátě, a naopak. Uvede se tedy opačné znaménko než to, které je použito v účetních výkazech.</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Neauditovaný zisk se do této položky nezahrnuje.</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Úpravy ocenění plynoucí z požadavků obezřetného oceňování</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Články 34 a 105 </w:t>
            </w:r>
            <w:r>
              <w:t>nařízení (EU) č. 575/2013</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Úpravy reálné hodnoty expozic zahrnutých do obchodního nebo do investičního portfolia vyplývající z přísnějších standardů obezřetného oceňování, které je stanoveno v článku 105 </w:t>
            </w:r>
            <w:r>
              <w:t>nařízení (EU) č. 575/2013</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Goodwill</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113, čl. 36 odst. 1 písm. b) a článku 37 </w:t>
            </w:r>
            <w:r>
              <w:t>nařízení (EU) č. 575/2013</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Goodwill účtovaný jako nehmotné aktivum</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113 a čl. 36 odst. 1 písm. b) </w:t>
            </w:r>
            <w:r>
              <w:t>nařízení (EU) č. 575/2013</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má stejný význam jako v použitelném účetním standardu.</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zde má být vykázána, musí být totožná s částkou uvedenou v rozvaze.</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Goodwill zahrnutý v ocenění významných investic</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37 písm. b) a článku 43 </w:t>
            </w:r>
            <w:r>
              <w:t>nařízení (EU) č. 575/2013</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Odložené daňové závazky související s goodwillem</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37 písm. a) </w:t>
            </w:r>
            <w:r>
              <w:t>nařízení (EU) č. 575/2013</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odložených daňových závazků, které by zanikly, kdyby došlo ke znehodnocení goodwillu nebo jeho odúčtování podle příslušného účetního standardu.</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Účetní přecenění goodwillu dceřiných podniků odvozeného z konsolidace dceřiných podniků a přiřaditelného třetím osobám</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37 písm. c) </w:t>
            </w:r>
            <w:r>
              <w:t>nařízení (EU) č. 575/2013</w:t>
            </w:r>
          </w:p>
          <w:p w14:paraId="3AC266E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Částka účetního přecenění goodwillu dceřiných podniků odvozeného z konsolidace dceřiných podniků a přiřaditelného osobám jiným než podnikům zahrnutým do konsolidace podle části první hlavy II kapitoly 2.</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Jiná nehmotná aktiva</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115, čl. 36 odst. 1 písm. b) a čl. 37 písm. a) a c) </w:t>
            </w:r>
            <w:r>
              <w:t>nařízení (EU) č. 575/2013</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jiná nehmotná aktiva se považují nehmotná aktiva podle použitelného účetního standardu bez goodwillu rovněž dle použitelného účetního standardu.</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Jiná nehmotná aktiva před odpočtem odložených daňových závazků</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115 a čl. 36 odst. 1 písm. b) </w:t>
            </w:r>
            <w:r>
              <w:t>nařízení (EU) č. 575/2013</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jiná nehmotná aktiva se považují nehmotná aktiva podle použitelného účetního standardu bez goodwillu rovněž dle použitelného účetního standardu.</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zde má být vykázána, odpovídá objemu nehmotných aktiv zahrnutých do rozvahy v souladu s použitelným účetním standardem bez goodwillu a objemu obezřetně oceněných aktiv v podobě softwaru, která nejsou odečtena od položek kmenového kapitálu tier 1 podle čl. 36 odst. 1 písm. b) nařízení (EU) č. 575/2013.</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Z toho: aktiva v podobě softwaru zaúčtovaná jako jiná nehmotná aktiva před odpočtem odložených daňových závazků</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115 </w:t>
            </w:r>
            <w:r>
              <w:t xml:space="preserve">nařízení (EU) č. 575/2013 </w:t>
            </w:r>
            <w:r>
              <w:rPr>
                <w:rStyle w:val="FormatvorlageInstructionsTabelleText"/>
                <w:rFonts w:ascii="Times New Roman" w:hAnsi="Times New Roman"/>
                <w:sz w:val="24"/>
              </w:rPr>
              <w:t xml:space="preserve">a čl. 36 odst. 1 písm. b) </w:t>
            </w:r>
            <w:r>
              <w:t>nařízení (EU) č. 575/2013</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Objem aktiv v podobě softwaru zaúčtovaných jako nehmotná aktiva, který je odečten od položek kmenového kapitálu tier 1 podle čl. 36 odst. 1 písm. b) nařízení (EU) č. 575/2013 a článku 13a nařízení v přenesené pravomoci (EU) č. 241/2014</w:t>
            </w:r>
            <w:r>
              <w:t xml:space="preserve">. </w:t>
            </w:r>
            <w:r>
              <w:rPr>
                <w:rStyle w:val="FormatvorlageInstructionsTabelleText"/>
                <w:rFonts w:ascii="Times New Roman" w:hAnsi="Times New Roman"/>
                <w:sz w:val="24"/>
              </w:rPr>
              <w:t xml:space="preserve">Vykázaná částka nezohledňuje dopady spojené s použitím postupu stanoveného v čl. 37 písm. a) </w:t>
            </w:r>
            <w:r>
              <w:t>nařízení (EU) č. 575/2013</w:t>
            </w:r>
            <w:r>
              <w:rPr>
                <w:rStyle w:val="FormatvorlageInstructionsTabelleText"/>
                <w:rFonts w:ascii="Times New Roman" w:hAnsi="Times New Roman"/>
                <w:sz w:val="24"/>
              </w:rPr>
              <w:t xml:space="preserve"> s ohledem na odložené daňové závazky související s těmito aktivy v podobě softwaru.</w:t>
            </w:r>
          </w:p>
          <w:p w14:paraId="39783C0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Pokud se instituce rozhodne odečíst tato aktiva v podobě softwaru v plném rozsahu v souladu s článkem 3 </w:t>
            </w:r>
            <w:r>
              <w:t>nařízení (EU) č. 575/2013</w:t>
            </w:r>
            <w:r>
              <w:rPr>
                <w:rStyle w:val="FormatvorlageInstructionsTabelleText"/>
                <w:rFonts w:ascii="Times New Roman" w:hAnsi="Times New Roman"/>
                <w:sz w:val="24"/>
              </w:rPr>
              <w:t xml:space="preserve"> namísto použití postupu stanoveného v článku 13a nařízení v přenesené pravomoci (EU) č. 241/2014, odpovídá částka vykázaná v tomto řádku objemu aktiv v podobě softwaru zaúčtovaných jako nehmotná aktiva podle použitelného účetního standardu.</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Odložené daňové závazky související s jinými nehmotnými aktivy</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37 písm. a) </w:t>
            </w:r>
            <w:r>
              <w:t>nařízení (EU) č. 575/2013</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odložených daňových závazků, které by zanikly, kdyby došlo ke znehodnocení nehmotných aktiv jiných než goodwill a obezřetně oceněných aktiv v podobě softwaru vyňatých z odpočtu od položek kmenového kapitálu tier 1 podle článku 13a nařízení v přenesené pravomoci (EU) č. 241/2014 nebo jejich odúčtování podle příslušného účetního standardu.</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Odložené daňové pohledávky související s aktivy v podobě softwaru zaúčtovanými jako nehmotná aktiva</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37 písm. a) </w:t>
            </w:r>
            <w:r>
              <w:t>nařízení (EU) č. 575/2013</w:t>
            </w:r>
          </w:p>
          <w:p w14:paraId="0A9FF627"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Část odložených daňových závazků, které souvisejí s objemem aktiv v podobě softwaru zaúčtovaných jako nehmotná aktiva, který je odečten od položek kmenového kapitálu tier 1 podle čl. 36 odst. 1 písm. b) </w:t>
            </w:r>
            <w:r>
              <w:t xml:space="preserve">nařízení (EU) č. 575/2013 a </w:t>
            </w:r>
            <w:r>
              <w:rPr>
                <w:rStyle w:val="FormatvorlageInstructionsTabelleText"/>
                <w:rFonts w:ascii="Times New Roman" w:hAnsi="Times New Roman"/>
                <w:sz w:val="24"/>
              </w:rPr>
              <w:t xml:space="preserve">článku 13a nařízení v přenesené pravomoci (EU) č. 241/2014 nebo článku 3 </w:t>
            </w:r>
            <w:r>
              <w:t>nařízení (EU) č. 575/2013</w:t>
            </w:r>
            <w:r>
              <w:rPr>
                <w:rStyle w:val="FormatvorlageInstructionsTabelleText"/>
                <w:rFonts w:ascii="Times New Roman" w:hAnsi="Times New Roman"/>
                <w:sz w:val="24"/>
              </w:rPr>
              <w:t>.</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Účetní přecenění jiných nehmotných aktiv dceřiných podniků odvozených z konsolidace dceřiných podniků a přiřaditelných třetím osobám</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37 písm. c) </w:t>
            </w:r>
            <w:r>
              <w:t>nařízení (EU) č. 575/2013</w:t>
            </w:r>
          </w:p>
          <w:p w14:paraId="114DCBE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Částka účetního přecenění nehmotných aktiv dceřiných podniků jiných než goodwill odvozených z konsolidace dceřiných podniků a </w:t>
            </w:r>
            <w:proofErr w:type="gramStart"/>
            <w:r>
              <w:rPr>
                <w:rStyle w:val="FormatvorlageInstructionsTabelleText"/>
                <w:rFonts w:ascii="Times New Roman" w:hAnsi="Times New Roman"/>
                <w:sz w:val="24"/>
              </w:rPr>
              <w:t>přiřaditelných osobám</w:t>
            </w:r>
            <w:proofErr w:type="gramEnd"/>
            <w:r>
              <w:rPr>
                <w:rStyle w:val="FormatvorlageInstructionsTabelleText"/>
                <w:rFonts w:ascii="Times New Roman" w:hAnsi="Times New Roman"/>
                <w:sz w:val="24"/>
              </w:rPr>
              <w:t xml:space="preserve"> jiným než podnikům zahrnutým do konsolidace podle části první hlavy II kapitoly 2.</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Odložené daňové pohledávky, které jsou závislé na budoucím zisku a nevyplývají z přechodných rozdílů, po zohlednění souvisejících daňových závazků</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c) a článku 38 </w:t>
            </w:r>
            <w:r>
              <w:t>nařízení (EU) č. 575/2013</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Nedostatek v krytí očekávaných ztrát úpravami o úvěrové riziko při přístupu založeném na interním ratingu (IRB)</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d), článků 40, 158 a 159 </w:t>
            </w:r>
            <w:r>
              <w:t>nařízení (EU) č. 575/2013</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se „nesnižuje o nárůst odložených daňových pohledávek závislých na budoucím zisku nebo o jiné dodatečné daňové účinky, které by mohly vzniknout, pokud by se rezervy měly </w:t>
            </w:r>
            <w:r>
              <w:rPr>
                <w:rStyle w:val="FormatvorlageInstructionsTabelleText"/>
                <w:rFonts w:ascii="Times New Roman" w:hAnsi="Times New Roman"/>
                <w:sz w:val="24"/>
              </w:rPr>
              <w:lastRenderedPageBreak/>
              <w:t xml:space="preserve">zvýšit na úroveň očekávaných ztrát“ (článek 40 </w:t>
            </w:r>
            <w:r>
              <w:t>nařízení (EU) č. 575/2013</w:t>
            </w:r>
            <w:r>
              <w:rPr>
                <w:rStyle w:val="FormatvorlageInstructionsTabelleText"/>
                <w:rFonts w:ascii="Times New Roman" w:hAnsi="Times New Roman"/>
                <w:sz w:val="24"/>
              </w:rPr>
              <w:t>).</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Aktiva penzijního fondu definovaných požitků</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109, čl. 36 odst. 1 písm. e) a článku 41 </w:t>
            </w:r>
            <w:r>
              <w:t>nařízení (EU) č. 575/2013</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Aktiva penzijního fondu definovaných požitků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109 a čl. 36 odst. 1 písm. e) </w:t>
            </w:r>
            <w:r>
              <w:t>nařízení (EU) č. 575/2013</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Aktiva penzijního fondu definovaných požitků jsou vymezena jako „aktiva penzijního fondu definovaných požitků, případně plánu, po snížení o částku závazků tohoto fondu nebo plánu“.</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zde má být vykázána, odpovídá částce uvedené v rozvaze (předkládá-li se samostatně).</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Odložené daňové závazky související s aktivy penzijního fondu definovaných požitků</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bodů 108 a 109 a čl. 41 odst. 1 písm. a) </w:t>
            </w:r>
            <w:r>
              <w:t>nařízení (EU) č. 575/2013</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odložených daňových závazků, které by zanikly, kdyby došlo ke znehodnocení aktiv penzijního fondu definovaných požitků nebo jejich odúčtování podle příslušného účetního standardu.</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Aktiva penzijního fondu definovaných požitků, jež instituce může bez omezení používat</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109 a čl. 41 odst. 1 písm. b) </w:t>
            </w:r>
            <w:r>
              <w:t>nařízení (EU) č. 575/2013</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Tato položka se vyplňuje pouze tehdy, pokud příslušný orgán vydá předchozí souhlas se snížením hodnoty aktiv penzijního fondu definovaných požitků, jež má být odečtena.</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Aktiva uvedená na tomto řádku </w:t>
            </w:r>
            <w:proofErr w:type="gramStart"/>
            <w:r>
              <w:rPr>
                <w:rStyle w:val="FormatvorlageInstructionsTabelleText"/>
                <w:rFonts w:ascii="Times New Roman" w:hAnsi="Times New Roman"/>
                <w:sz w:val="24"/>
              </w:rPr>
              <w:t>obdrží</w:t>
            </w:r>
            <w:proofErr w:type="gramEnd"/>
            <w:r>
              <w:rPr>
                <w:rStyle w:val="FormatvorlageInstructionsTabelleText"/>
                <w:rFonts w:ascii="Times New Roman" w:hAnsi="Times New Roman"/>
                <w:sz w:val="24"/>
              </w:rPr>
              <w:t xml:space="preserve"> rizikovou váhu na požadavky k úvěrovému riziku.</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Vzájemná účast na kmenovém kapitálu tier 1</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122, čl. 36 odst. 1 písm. g) a článku 44 </w:t>
            </w:r>
            <w:r>
              <w:t>nařízení (EU) č. 575/2013</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Účasti subjektů finančního sektoru (ve smyslu čl. 4 odst. 1 bodu 27 </w:t>
            </w:r>
            <w:r>
              <w:t>nařízení (EU) č. 575/2013</w:t>
            </w:r>
            <w:r>
              <w:rPr>
                <w:rStyle w:val="FormatvorlageInstructionsTabelleText"/>
                <w:rFonts w:ascii="Times New Roman" w:hAnsi="Times New Roman"/>
                <w:sz w:val="24"/>
              </w:rPr>
              <w:t>) v nástrojích kmenového kapitálu tier 1, jedná-li se o vztah vzájemné účasti a příslušné orgány se domnívají, že jeho účelem je uměle zvýšit kapitál instituce.</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vypočítá na základě hrubých dlouhých pozic a zahrnuje položky kapitálu tier 1 pojišťovny.</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Odpočet od položek vedlejšího kapitálu tier 1, který přesahuje výši vedlejšího kapitálu tier 1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j) </w:t>
            </w:r>
            <w:r>
              <w:t>nařízení (EU) č. 575/2013</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Částka, která má být vykázána, se přímo přejímá z položky šablony CA1 nazvané „Odpočet od položek vedlejšího kapitálu tier 1, který přesahuje výši vedlejšího kapitálu tier 1“. Částka musí být odečtena od kmenového kapitálu tier 1.</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Kvalifikované účasti mimo finanční sektor, na něž se alternativně může uplatnit riziková váha 1 250 %</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36, čl. 36 odst. 1 písm. k) bodu i) a článků 89 až 91 </w:t>
            </w:r>
            <w:r>
              <w:t>nařízení (EU) č. 575/2013</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Kvalifikovaná účast je definována jako „přímá nebo nepřímá kapitálová investice do podniku, která představuje 10</w:t>
            </w:r>
            <w:r>
              <w:t> </w:t>
            </w:r>
            <w:r>
              <w:rPr>
                <w:rStyle w:val="FormatvorlageInstructionsTabelleText"/>
                <w:rFonts w:ascii="Times New Roman" w:hAnsi="Times New Roman"/>
                <w:sz w:val="24"/>
              </w:rPr>
              <w:t>% či více kapitálu nebo hlasovacích práv nebo která dává možnost podstatně ovlivňovat řízení tohoto podniku“.</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souladu s čl. 36 odst. 1 písm. k) bodem i) </w:t>
            </w:r>
            <w:r>
              <w:t xml:space="preserve">nařízení (EU) č. 575/2013 </w:t>
            </w:r>
            <w:r>
              <w:rPr>
                <w:rStyle w:val="FormatvorlageInstructionsTabelleText"/>
                <w:rFonts w:ascii="Times New Roman" w:hAnsi="Times New Roman"/>
                <w:sz w:val="24"/>
              </w:rPr>
              <w:t>mohou být kvalifikované účasti alternativně odečteny od kmenového kapitálu tier 1 (za využití této položky), nebo na ně může být uplatněna riziková váha</w:t>
            </w:r>
            <w:r>
              <w:t xml:space="preserve"> 1 250</w:t>
            </w:r>
            <w:r>
              <w:rPr>
                <w:rStyle w:val="FormatvorlageInstructionsTabelleText"/>
                <w:rFonts w:ascii="Times New Roman" w:hAnsi="Times New Roman"/>
                <w:sz w:val="24"/>
              </w:rPr>
              <w:t> %.</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Sekuritizované pozice, na něž se alternativně může uplatnit</w:t>
            </w:r>
            <w:r>
              <w:t xml:space="preserve"> </w:t>
            </w:r>
            <w:r>
              <w:rPr>
                <w:rStyle w:val="InstructionsTabelleberschrift"/>
                <w:rFonts w:ascii="Times New Roman" w:hAnsi="Times New Roman"/>
                <w:sz w:val="24"/>
              </w:rPr>
              <w:t>riziková váha 1 250 %</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244 odst. 1 písm. b), čl. 245 odst. 1 písm. b) a čl. 253 odst. 1 </w:t>
            </w:r>
            <w:r>
              <w:t>nařízení (EU) č. 575/2013</w:t>
            </w:r>
            <w:r>
              <w:rPr>
                <w:rStyle w:val="FormatvorlageInstructionsTabelleText"/>
                <w:rFonts w:ascii="Times New Roman" w:hAnsi="Times New Roman"/>
                <w:sz w:val="24"/>
              </w:rPr>
              <w:t xml:space="preserve">.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Sekuritizační pozice, na něž se uplatní riziková váha 1 250</w:t>
            </w:r>
            <w:r>
              <w:t> </w:t>
            </w:r>
            <w:r>
              <w:rPr>
                <w:rStyle w:val="FormatvorlageInstructionsTabelleText"/>
                <w:rFonts w:ascii="Times New Roman" w:hAnsi="Times New Roman"/>
                <w:sz w:val="24"/>
              </w:rPr>
              <w:t>%, avšak alternativně je lze odečíst od kmenového kapitálu tier 1 (čl. 36 odst. 1 písm. k) bod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w:t>
            </w:r>
            <w:r>
              <w:t>nařízení (EU) č. 575/2013</w:t>
            </w:r>
            <w:r>
              <w:rPr>
                <w:rStyle w:val="FormatvorlageInstructionsTabelleText"/>
                <w:rFonts w:ascii="Times New Roman" w:hAnsi="Times New Roman"/>
                <w:sz w:val="24"/>
              </w:rPr>
              <w:t>), se vykazují v této položce.</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Volné dodávky, na které může být alternativně uplatněna riziková váha 1 250</w:t>
            </w:r>
            <w:r>
              <w:t> </w:t>
            </w:r>
            <w:r>
              <w:rPr>
                <w:rStyle w:val="InstructionsTabelleberschrift"/>
                <w:rFonts w:ascii="Times New Roman" w:hAnsi="Times New Roman"/>
                <w:sz w:val="24"/>
              </w:rPr>
              <w:t>%</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k) bodu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xml:space="preserve">) a čl. 379 odst. 3 </w:t>
            </w:r>
            <w:r>
              <w:t>nařízení (EU) č. 575/2013</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volné dodávky se uplatní riziková váha 1 250</w:t>
            </w:r>
            <w:r>
              <w:t> </w:t>
            </w:r>
            <w:r>
              <w:rPr>
                <w:rStyle w:val="FormatvorlageInstructionsTabelleText"/>
                <w:rFonts w:ascii="Times New Roman" w:hAnsi="Times New Roman"/>
                <w:sz w:val="24"/>
              </w:rPr>
              <w:t>% po uplynutí pěti dnů po druhé smluvní platbě nebo dodávce až do zániku transakce, a to v souladu s kapitálovými požadavky k vypořádacímu riziku. Alternativně je lze odečíst od kmenového kapitálu tier 1 (čl. 36 odst. 1 písm. k) bod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xml:space="preserve">) </w:t>
            </w:r>
            <w:r>
              <w:t>nařízení (EU) č. 575/2013</w:t>
            </w:r>
            <w:r>
              <w:rPr>
                <w:rStyle w:val="FormatvorlageInstructionsTabelleText"/>
                <w:rFonts w:ascii="Times New Roman" w:hAnsi="Times New Roman"/>
                <w:sz w:val="24"/>
              </w:rPr>
              <w:t>). V posledním uvedeném případě se vykazují v této položce.</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Pozice v koši, pro které instituce nemůže určit rizikovou váhu v rámci přístupu IRB a na které se alternativně může uplatnit riziková váha 1 250 %</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36 odst. 1 písm. k) bodu iv) a čl. 153 odst. 8 </w:t>
            </w:r>
            <w:r>
              <w:t>nařízení (EU) č. 575/2013</w:t>
            </w:r>
          </w:p>
          <w:p w14:paraId="114F16D8"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Podle </w:t>
            </w:r>
            <w:r>
              <w:rPr>
                <w:rStyle w:val="InstructionsTabelleberschrift"/>
                <w:rFonts w:ascii="Times New Roman" w:hAnsi="Times New Roman"/>
                <w:b w:val="0"/>
                <w:sz w:val="24"/>
                <w:u w:val="none"/>
              </w:rPr>
              <w:t xml:space="preserve">čl. 36 odst. 1 písm. k) bodu iv) </w:t>
            </w:r>
            <w:r>
              <w:t>nařízení (EU) č. 575/2013</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mohou být pozice v koši, pro které instituce nemůže určit rizikovou váhu v rámci přístupu IRB</w:t>
            </w:r>
            <w:r>
              <w:rPr>
                <w:rStyle w:val="FormatvorlageInstructionsTabelleText"/>
                <w:rFonts w:ascii="Times New Roman" w:hAnsi="Times New Roman"/>
                <w:sz w:val="24"/>
              </w:rPr>
              <w:t>, alternativně odečteny od kmenového kapitálu tier 1 (za využití této položky), nebo na ně může být uplatněna riziková váha 1 250 %.</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Akciové expozice v rámci přístupu založeného na interních modelech, na které se alternativně může uplatnit riziková váha 1 250</w:t>
            </w:r>
            <w:r>
              <w:t> </w:t>
            </w:r>
            <w:r>
              <w:rPr>
                <w:rStyle w:val="InstructionsTabelleberschrift"/>
                <w:rFonts w:ascii="Times New Roman" w:hAnsi="Times New Roman"/>
                <w:sz w:val="24"/>
              </w:rPr>
              <w:t>%</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36 odst. 1 písm. k) bodu v) a čl. 155 odst. 4 </w:t>
            </w:r>
            <w:r>
              <w:t>nařízení (EU) č. 575/2013</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 souladu s čl. 36 odst. 1 písm. k) bodem v) </w:t>
            </w:r>
            <w:r>
              <w:t>nařízení (EU) č. 575/2013</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mohou být akciové expozice v rámci přístupu založeného na interních modelech</w:t>
            </w:r>
            <w:r>
              <w:rPr>
                <w:rStyle w:val="FormatvorlageInstructionsTabelleText"/>
                <w:rFonts w:ascii="Times New Roman" w:hAnsi="Times New Roman"/>
                <w:sz w:val="24"/>
              </w:rPr>
              <w:t xml:space="preserve"> alternativně odečteny od kmenového kapitálu tier 1 (za využití této položky), nebo na ně může být uplatněna riziková váha 1 250</w:t>
            </w:r>
            <w:r>
              <w:t> </w:t>
            </w:r>
            <w:r>
              <w:rPr>
                <w:rStyle w:val="FormatvorlageInstructionsTabelleText"/>
                <w:rFonts w:ascii="Times New Roman" w:hAnsi="Times New Roman"/>
                <w:sz w:val="24"/>
              </w:rPr>
              <w:t>%.</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Nástroje zahrnované do kmenového kapitálu tier 1 subjektů finančního sektoru, v nichž instituce nemá významnou investici</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27, čl. 36 odst. 1 písm. h), článků 43 až 46, čl. 49 odst. 2 a 3 a článku 79 </w:t>
            </w:r>
            <w:r>
              <w:t>nařízení (EU) č. 575/2013</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 kapitálových investic instituce do nástrojů subjektů finančního sektoru (ve smyslu čl. 4 odst. 1 bodu 27 </w:t>
            </w:r>
            <w:r>
              <w:t>nařízení (EU) č. 575/2013</w:t>
            </w:r>
            <w:r>
              <w:rPr>
                <w:rStyle w:val="FormatvorlageInstructionsTabelleText"/>
                <w:rFonts w:ascii="Times New Roman" w:hAnsi="Times New Roman"/>
                <w:sz w:val="24"/>
              </w:rPr>
              <w:t>), v nichž instituce nemá významnou investici, která musí být odečtena od kmenového kapitálu tier 1.</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Vezměte na vědomí alternativní postupy k odpočtu v případě, že se použije konsolidace (čl. 49 odst. 2 a 3).</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Odpočitatelné odložené daňové pohledávky, které jsou závislé na budoucím zisku a vyplývají z přechodných rozdílů</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 36 odst. 1 písm. c), článku 38 a čl. 48 odst. 1 písm. a) </w:t>
            </w:r>
            <w:r>
              <w:t>nařízení (EU) č. 575/2013</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 odložených daňových pohledávek, které jsou závislé na budoucím zisku a vyplývají z přechodných rozdílů (bez části souvisejících odložených daňových závazků přiřazených k odloženým daňovým pohledávkám, které vyplývají z přechodných rozdílů), jež musí být podle čl. 38 odst. 5 písm. b) </w:t>
            </w:r>
            <w:r>
              <w:t xml:space="preserve">nařízení (EU) č. 575/2013 </w:t>
            </w:r>
            <w:r>
              <w:rPr>
                <w:rStyle w:val="FormatvorlageInstructionsTabelleText"/>
                <w:rFonts w:ascii="Times New Roman" w:hAnsi="Times New Roman"/>
                <w:sz w:val="24"/>
              </w:rPr>
              <w:t xml:space="preserve">odečtena, a to při uplatnění 10% prahové hodnoty stanovené v čl. 48 odst. 1 písm. a) </w:t>
            </w:r>
            <w:r>
              <w:t>uvedeného nařízení</w:t>
            </w:r>
            <w:r>
              <w:rPr>
                <w:rStyle w:val="FormatvorlageInstructionsTabelleText"/>
                <w:rFonts w:ascii="Times New Roman" w:hAnsi="Times New Roman"/>
                <w:sz w:val="24"/>
              </w:rPr>
              <w:t>.</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Nástroje zahrnované do kmenového kapitálu tier 1 subjektů finančního sektoru, v nichž má instituce významnou investici</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Ustanovení čl. 4 odst. 1 bodu 27, čl. 36 odst. 1 písm. i), článků 43, 45, 47, čl. 48 odst. 2 písm. b), čl. 49 odst. 1, 2 a 3 a článku 79 </w:t>
            </w:r>
            <w:r>
              <w:t>nařízení (EU) č. 575/2013</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 kapitálových investic instituce do nástrojů zahrnovaných do kmenového kapitálu tier 1 subjektů finančního sektoru (ve smyslu čl. 4 odst. 1 bodu 27 </w:t>
            </w:r>
            <w:r>
              <w:t>nařízení (EU) č. 575/2013</w:t>
            </w:r>
            <w:r>
              <w:rPr>
                <w:rStyle w:val="FormatvorlageInstructionsTabelleText"/>
                <w:rFonts w:ascii="Times New Roman" w:hAnsi="Times New Roman"/>
                <w:sz w:val="24"/>
              </w:rPr>
              <w:t xml:space="preserve">), v nichž má instituce významnou investici, která musí být odečtena, a to při uplatnění 10% prahové hodnoty stanovené v čl. 48 odst. 1 písm. b) </w:t>
            </w:r>
            <w:r>
              <w:t>uvedeného nařízení</w:t>
            </w:r>
            <w:r>
              <w:rPr>
                <w:rStyle w:val="FormatvorlageInstructionsTabelleText"/>
                <w:rFonts w:ascii="Times New Roman" w:hAnsi="Times New Roman"/>
                <w:sz w:val="24"/>
              </w:rPr>
              <w:t>.</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Vezměte na vědomí alternativní postupy k odpočtu v případě, že se použije konsolidace (čl. 49 odst. 1, 2 a 3 </w:t>
            </w:r>
            <w:r>
              <w:t>nařízení (EU) č. 575/2013</w:t>
            </w:r>
            <w:r>
              <w:rPr>
                <w:rStyle w:val="FormatvorlageInstructionsTabelleText"/>
                <w:rFonts w:ascii="Times New Roman" w:hAnsi="Times New Roman"/>
                <w:sz w:val="24"/>
              </w:rPr>
              <w:t>).</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Částka přesahující 17,65 % prahovou hodnotu</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48 odst. 2 </w:t>
            </w:r>
            <w:r>
              <w:t>nařízení (EU) č. 575/2013</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 odložených daňových pohledávek, které jsou závislé na budoucím zisku a vyplývají z přechodných rozdílů, a přímých, nepřímých a syntetických kapitálových investic instituce do nástrojů zahrnovaných do kmenového kapitálu tier 1 subjektů finančního sektoru (ve smyslu čl. 4 odst. 1 bodu 27 </w:t>
            </w:r>
            <w:r>
              <w:t xml:space="preserve">nařízení (EU) č. 575/2013), </w:t>
            </w:r>
            <w:r>
              <w:rPr>
                <w:rStyle w:val="FormatvorlageInstructionsTabelleText"/>
                <w:rFonts w:ascii="Times New Roman" w:hAnsi="Times New Roman"/>
                <w:sz w:val="24"/>
              </w:rPr>
              <w:t xml:space="preserve">v nichž má instituce významnou investici, která musí být odečtena, a to při uplatnění 17,65% prahové hodnoty stanovené v čl. 48 odst. 2 </w:t>
            </w:r>
            <w:r>
              <w:t>uvedeného nařízení</w:t>
            </w:r>
            <w:r>
              <w:rPr>
                <w:rStyle w:val="FormatvorlageInstructionsTabelleText"/>
                <w:rFonts w:ascii="Times New Roman" w:hAnsi="Times New Roman"/>
                <w:sz w:val="24"/>
              </w:rPr>
              <w:t>.</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Částka přesahující 17,65 % prahovou hodnotu vztahující se k nástrojům zahrnovaným do kmenového kapitálu tier 1 subjektů finančního sektoru, v nichž má instituce významnou investici</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Částka přesahující 17,65 % prahovou hodnotu vztahující se k odloženým daňovým pohledávkám vyplývajícím z přechodných rozdílů</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Nedostatečné krytí pro nevýkonné expozice</w:t>
            </w:r>
          </w:p>
          <w:p w14:paraId="36971E9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Ustanovení čl. 36 odst. 1 písm. m) a článku 47c </w:t>
            </w:r>
            <w:r>
              <w:t>nařízení (EU) č. 575/2013</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Nedostatky týkající se příslibu minimální hodnoty</w:t>
            </w:r>
          </w:p>
          <w:p w14:paraId="5C5FE4E7"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Ustanovení čl. 36 odst. 1 písm. n) a čl. 132c odst. 2 </w:t>
            </w:r>
            <w:r>
              <w:t>nařízení (EU) č. 575/2013</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Ostatní předvídatelné daňové platby</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Ustanovení čl. 36 odst. 1 písm. l) </w:t>
            </w:r>
            <w:r>
              <w:t>nařízení (EU) č. 575/2013</w:t>
            </w:r>
          </w:p>
          <w:p w14:paraId="3ADB3F6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Daňové platby vztahující se k položkám kmenového kapitálu tier 1, které lze předvídat v okamžiku výpočtu, jiné než daňové platby, které již byly zohledněny v kterémkoli z ostatních řádků odrážejících položky kmenového kapitálu tier 1 snížením částky dotyčné položky kmenového kapitálu tier 1.</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Ostatní přechodné úpravy kmenového kapitálu tier 1</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Články 469 až 478 a článek 481 </w:t>
            </w:r>
            <w:r>
              <w:t>nařízení (EU) č. 575/2013</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odpočtů v důsledku přechodných ustanovení. Částka, která má být vykázána, se přímo přejímá ze šablony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Dodatečné odpočty od kmenového kapitálu tier 1 s ohledem na článek 3 nařízení (EU) č. 575/2013</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3 </w:t>
            </w:r>
            <w:r>
              <w:t>nařízení (EU) č. 575/2013</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Pokud se instituce rozhodne odečíst tato aktiva v podobě softwaru v plném rozsahu v souladu s článkem 3 </w:t>
            </w:r>
            <w:r>
              <w:t>nařízení (EU) č. 575/2013</w:t>
            </w:r>
            <w:r>
              <w:rPr>
                <w:rStyle w:val="InstructionsTabelleberschrift"/>
                <w:rFonts w:ascii="Times New Roman" w:hAnsi="Times New Roman"/>
                <w:b w:val="0"/>
                <w:sz w:val="24"/>
                <w:u w:val="none"/>
              </w:rPr>
              <w:t xml:space="preserve"> namísto použití postupu stanoveného v článku 13a nařízení v přenesené pravomoci (EU) č. 241/2014, nevykazuje se dodatečná odečtená částka v tomto řádku, nýbrž v řádku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Položky kmenového kapitálu tier 1 nebo odpočty – jiné</w:t>
            </w:r>
          </w:p>
          <w:p w14:paraId="4265ECB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je určen výhradně pro účely vykazování a zajišťuje jeho flexibilitu.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kmenového kapitálu tier 1 nebo odpočet od této položky nelze přiřadit do jednoho z řádků 020 až 524.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w:t>
            </w:r>
            <w:proofErr w:type="gramStart"/>
            <w:r>
              <w:rPr>
                <w:rStyle w:val="InstructionsTabelleberschrift"/>
                <w:rFonts w:ascii="Times New Roman" w:hAnsi="Times New Roman"/>
                <w:b w:val="0"/>
                <w:sz w:val="24"/>
                <w:u w:val="none"/>
              </w:rPr>
              <w:t>neslouží</w:t>
            </w:r>
            <w:proofErr w:type="gramEnd"/>
            <w:r>
              <w:rPr>
                <w:rStyle w:val="InstructionsTabelleberschrift"/>
                <w:rFonts w:ascii="Times New Roman" w:hAnsi="Times New Roman"/>
                <w:b w:val="0"/>
                <w:sz w:val="24"/>
                <w:u w:val="none"/>
              </w:rPr>
              <w:t xml:space="preserve"> k zahrnutí kapitálových položek či odpočtů od kapitálu, na něž se </w:t>
            </w:r>
            <w:r>
              <w:t xml:space="preserve">nařízení (EU) č. 575/2013 </w:t>
            </w:r>
            <w:r>
              <w:rPr>
                <w:rStyle w:val="InstructionsTabelleberschrift"/>
                <w:rFonts w:ascii="Times New Roman" w:hAnsi="Times New Roman"/>
                <w:b w:val="0"/>
                <w:sz w:val="24"/>
                <w:u w:val="none"/>
              </w:rPr>
              <w:t xml:space="preserve">nevztahuje, do výpočtu </w:t>
            </w:r>
            <w:proofErr w:type="spellStart"/>
            <w:r>
              <w:rPr>
                <w:rStyle w:val="InstructionsTabelleberschrift"/>
                <w:rFonts w:ascii="Times New Roman" w:hAnsi="Times New Roman"/>
                <w:b w:val="0"/>
                <w:sz w:val="24"/>
                <w:u w:val="none"/>
              </w:rPr>
              <w:t>solventnostního</w:t>
            </w:r>
            <w:proofErr w:type="spellEnd"/>
            <w:r>
              <w:rPr>
                <w:rStyle w:val="InstructionsTabelleberschrift"/>
                <w:rFonts w:ascii="Times New Roman" w:hAnsi="Times New Roman"/>
                <w:b w:val="0"/>
                <w:sz w:val="24"/>
                <w:u w:val="none"/>
              </w:rPr>
              <w:t xml:space="preserve"> poměru (např. sem nelze zařadit položky či odpočty státního kapitálu, které nespadají do oblasti působnosti </w:t>
            </w:r>
            <w:r>
              <w:t>nařízení (EU) č. 575/2013</w:t>
            </w:r>
            <w:r>
              <w:rPr>
                <w:rStyle w:val="InstructionsTabelleberschrift"/>
                <w:rFonts w:ascii="Times New Roman" w:hAnsi="Times New Roman"/>
                <w:b w:val="0"/>
                <w:sz w:val="24"/>
                <w:u w:val="none"/>
              </w:rPr>
              <w:t>).</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VEDLEJŠÍ KAPITÁL TIER 1</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61 </w:t>
            </w:r>
            <w:r>
              <w:t>nařízení (EU) č. 575/2013</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Kapitálové nástroje a emisní ážio způsobilé jako vedlejší kapitál tier 1</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51 písm. a), článků 52, 53 a 54, čl. 56 písm. a) a článku 57 </w:t>
            </w:r>
            <w:r>
              <w:t>nařízení (EU) č. 575/2013</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Plně uhrazené přímo vydané kapitálové nástroje</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51 písm. a) a článků 52, 53 a 54 </w:t>
            </w:r>
            <w:r>
              <w:t>nařízení (EU) č. 575/2013</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Doplňková položka: nezpůsobilé kapitálové nástroje</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52 odst. 1 písm. c), e) a f) </w:t>
            </w:r>
            <w:r>
              <w:t>nařízení (EU) č. 575/2013</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Emisní ážio</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51 písm. b) </w:t>
            </w:r>
            <w:r>
              <w:t>nařízení (EU) č. 575/2013</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Emisní ážio má stejný význam jako v použitelném účetním standardu.</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v této položce, je částí vztahující se k položce „Plně uhrazené přímo vydané kapitálové nástroje“.</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Vlastní nástroje zahrnované do vedlejšího kapitálu tier 1</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52 odst. 1 písm. b), čl. 56 písm. a) a článku 57 </w:t>
            </w:r>
            <w:r>
              <w:t>nařízení (EU) č. 575/2013</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Vlastní nástroje zahrnované do vedlejšího kapitálu tier 1 držené vykazující institucí nebo skupinou k datu vykazování a hodnoty nástrojů zahrnovaných do vedlejšího kapitálu tier 1, jež mají být odečteny podle čl. 28 odst. 2 nařízení v přenesené pravomoci (EU) č. 241/2014. S výhradou výjimek uvedených v článku 57 </w:t>
            </w:r>
            <w:r>
              <w:t>nařízení (EU) č. 575/2013</w:t>
            </w:r>
            <w:r>
              <w:rPr>
                <w:rStyle w:val="FormatvorlageInstructionsTabelleText"/>
                <w:rFonts w:ascii="Times New Roman" w:hAnsi="Times New Roman"/>
                <w:sz w:val="24"/>
              </w:rPr>
              <w:t>.</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nevykazují držby akcií zahrnuté v položce „Nezpůsobilé kapitálové nástroje“.</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zahrnuje emisní ážio související s vlastními akciemi.</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Položky 1.1.2.1.4 až 1.1.2.1.4.3 nezahrnují skutečné nebo podmíněné závazky odkoupit vlastní nástroje zahrnované do vedlejšího kapitálu tier 1. Skutečné nebo podmíněné závazky odkoupit vlastní nástroje zahrnované do vedlejšího kapitálu tier 1 se vykazují samostatně v položce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Přímé kapitálové investice do nástrojů zahrnovaných do vedlejšího kapitálu tier 1</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Ustanovení čl. 4 odst. 1 bodu 144, čl. 52 odst. 1 písm. b), čl. 56 písm. a) a článku 57 </w:t>
            </w:r>
            <w:r>
              <w:t>nařízení (EU) č. 575/2013</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Nástroje zahrnované do vedlejšího kapitálu tier 1 uvedené v položce 1.1.2.1.1 držené institucemi v rámci konsolidované skupiny k datu vykazování a hodnoty nástrojů zahrnovaných do vedlejšího kapitálu tier 1, jež mají být odečteny podle čl. 28 odst. 2 nařízení v přenesené pravomoci (EU) č. 241/2014.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Nepřímé kapitálové investice do nástrojů zahrnovaných do vedlejšího kapitálu tier 1</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52 odst. 1 písm. b) bodu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čl. 56 písm. a) a článku 57 </w:t>
            </w:r>
            <w:r>
              <w:t>nařízení (EU) č. 575/2013</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Syntetické kapitálové investice do nástrojů zahrnovaných do vedlejšího kapitálu tier 1</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 Ustanovení čl. 4 odst. 1 bodu 126, čl. 52 odst. 1 písm. b), </w:t>
            </w:r>
            <w:r>
              <w:rPr>
                <w:rStyle w:val="FormatvorlageInstructionsTabelleText"/>
                <w:rFonts w:ascii="Times New Roman" w:hAnsi="Times New Roman"/>
                <w:sz w:val="24"/>
              </w:rPr>
              <w:t xml:space="preserve">čl. 56 písm. a) </w:t>
            </w:r>
            <w:r>
              <w:t>a článku 57 nařízení (EU) č. 575/2013</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Skutečné nebo podmíněné závazky odkoupit vlastní nástroje zahrnované do vedlejšího kapitálu tier 1</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56 písm. a) a článku 57 </w:t>
            </w:r>
            <w:r>
              <w:t>nařízení (EU) č. 575/2013</w:t>
            </w:r>
          </w:p>
          <w:p w14:paraId="3E46885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b w:val="0"/>
                <w:u w:val="none"/>
              </w:rPr>
              <w:t xml:space="preserve">Podle </w:t>
            </w:r>
            <w:r>
              <w:rPr>
                <w:rStyle w:val="FormatvorlageInstructionsTabelleText"/>
              </w:rPr>
              <w:t xml:space="preserve">čl. 56 písm. a) </w:t>
            </w:r>
            <w:r>
              <w:t>nařízení (EU) č. 575/2013</w:t>
            </w:r>
            <w:r>
              <w:rPr>
                <w:rStyle w:val="InstructionsTabelleberschrift"/>
                <w:rFonts w:ascii="Times New Roman" w:hAnsi="Times New Roman"/>
                <w:b w:val="0"/>
                <w:sz w:val="24"/>
                <w:u w:val="none"/>
              </w:rPr>
              <w:t xml:space="preserve"> </w:t>
            </w:r>
            <w:r>
              <w:t>se provede odpočet „vlastních nástrojů zahrnovaných do vedlejšího kapitálu tier 1, které by instituce mohla být povinna odkoupit na základě stávajících smluvních závazků“.</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Přechodné úpravy provedené v důsledku nástrojů zahrnovaných do vedlejšího kapitálu tier 1, pro něž platí zachování právních účinků</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483 odst. 4 a 5, článků 484 až 487, článků 489 a 491 </w:t>
            </w:r>
            <w:r>
              <w:t>nařízení (EU) č. 575/2013</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Hodnota kapitálových nástrojů, které díky přechodnému zachování právních účinků nadále odpovídají vedlejšímu kapitálu tier 1. Částka, která má být vykázána, se přímo přejímá ze šablony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Nástroje vydané dceřinými společnostmi a uznané ve vedlejším kapitálu tier 1</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Články 83, 85 a 86 </w:t>
            </w:r>
            <w:r>
              <w:t>nařízení (EU) č. 575/2013</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Součet všech částek kvalifikovaného kapitálu tier 1 dceřiných podniků, který se zahrne do konsolidovaného vedlejšího kapitálu tier 1.</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Je zahrnut kvalifikovaný vedlejší kapitál tier 1 vydaný jednotkou pro speciální účel (článek 83 </w:t>
            </w:r>
            <w:r>
              <w:t>nařízení (EU) č. 575/2013</w:t>
            </w:r>
            <w:r>
              <w:rPr>
                <w:rStyle w:val="FormatvorlageInstructionsTabelleText"/>
                <w:rFonts w:ascii="Times New Roman" w:hAnsi="Times New Roman"/>
                <w:sz w:val="24"/>
              </w:rPr>
              <w:t>).</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Přechodné úpravy v důsledku dodatečného uznání nástrojů, které jsou vydány dceřinými společnostmi, ve vedlejším kapitálu tier 1</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480 </w:t>
            </w:r>
            <w:r>
              <w:t>nařízení (EU) č. 575/2013</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kvalifikovaného kapitálu tier 1 zahrnutého v konsolidovaném vedlejším kapitálu tier 1 provedené v důsledku přechodných ustanovení. Tato položka se přejímá přímo ze šablony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Vzájemná účast na vedlejším kapitálu tier 1</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Ustanovení čl. 4 odst. 1 bodu 122, čl. 56 písm. b) a článku 58 </w:t>
            </w:r>
            <w:r>
              <w:t>nařízení (EU) č. 575/2013</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Účasti subjektů finančního sektoru (ve smyslu čl. 4 odst. 1 bodu 27 </w:t>
            </w:r>
            <w:r>
              <w:t>nařízení (EU) č. 575/2013)</w:t>
            </w:r>
            <w:r>
              <w:rPr>
                <w:rStyle w:val="FormatvorlageInstructionsTabelleText"/>
                <w:rFonts w:ascii="Times New Roman" w:hAnsi="Times New Roman"/>
                <w:sz w:val="24"/>
              </w:rPr>
              <w:t xml:space="preserve"> v nástrojích zahrnovaných do vedlejšího kapitálu tier 1, jedná-li se o vztah vzájemné účasti a příslušné orgány se domnívají, že jeho účelem je uměle zvýšit kapitál instituce</w:t>
            </w:r>
            <w:r>
              <w:t>.</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vypočítá na základě hrubých dlouhých pozic a zahrnuje položky vedlejšího kapitálu tier 1 pojišťovny.</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Nástroje zahrnované do vedlejšího kapitálu tier 1 subjektů finančního sektoru, v nichž instituce nemá významnou investici</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27, čl. 56, písm. c), článků 59, 60 a 79 </w:t>
            </w:r>
            <w:r>
              <w:t>nařízení (EU) č. 575/2013</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 kapitálových investic instituce do nástrojů subjektů finančního sektoru (ve smyslu čl. 4 odst. 1 bodu 27 </w:t>
            </w:r>
            <w:r>
              <w:t>nařízení (EU) č. 575/2013</w:t>
            </w:r>
            <w:r>
              <w:rPr>
                <w:rStyle w:val="FormatvorlageInstructionsTabelleText"/>
                <w:rFonts w:ascii="Times New Roman" w:hAnsi="Times New Roman"/>
                <w:sz w:val="24"/>
              </w:rPr>
              <w:t>), v nichž instituce nemá významnou investici, která musí být odečtena od vedlejšího kapitálu tier 1.</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Nástroje zahrnované do vedlejšího kapitálu tier 1 subjektů finančního sektoru, v nichž má instituce významnou investici</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27, čl. 56 písm. d), článků 59 a 79 </w:t>
            </w:r>
            <w:r>
              <w:t>nařízení (EU) č. 575/2013</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Kapitálové investice instituce do nástrojů kapitálu tier 1 subjektů finančního sektoru (ve smyslu čl. 4 odst. 1 bodu 27 </w:t>
            </w:r>
            <w:r>
              <w:t xml:space="preserve">nařízení (EU) </w:t>
            </w:r>
            <w:r>
              <w:lastRenderedPageBreak/>
              <w:t>č. 575/2013</w:t>
            </w:r>
            <w:r>
              <w:rPr>
                <w:rStyle w:val="FormatvorlageInstructionsTabelleText"/>
                <w:rFonts w:ascii="Times New Roman" w:hAnsi="Times New Roman"/>
                <w:sz w:val="24"/>
              </w:rPr>
              <w:t>), v nichž má instituce významnou investici, se odečítají v plném rozsahu.</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Odpočet od položek kapitálu tier 2, který přesahuje výši kapitálu tier 2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56 písm. e) </w:t>
            </w:r>
            <w:r>
              <w:t>nařízení (EU) č. 575/2013</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přímo přejímá z položky šablony CA1 nazvané „Odpočet od položek kapitálu tier 2, který přesahuje výši kapitálu tier 2 (odečítá se od vedlejšího kapitálu tier 1)“.</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Ostatní přechodné úpravy vedlejšího kapitálu tier 1</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472, 474, 475, 478 a 481</w:t>
            </w:r>
            <w:r>
              <w:t xml:space="preserve"> nařízení (EU) č. 575/2013.</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provedené v důsledku přechodných ustanovení. Částka, která má být vykázána, se přímo přejímá ze šablony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Odpočet od položek vedlejšího kapitálu tier 1, který přesahuje výši vedlejšího kapitálu tier 1 (odečítá se od kmenového kapitálu tier 1)</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36 odst. 1 písm. j) </w:t>
            </w:r>
            <w:r>
              <w:t>nařízení (EU) č. 575/2013</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Vedlejší kapitál tier 1 nemůže být záporný, ale je možné, že odpočty od vedlejšího kapitálu tier 1 převyšují součet vedlejšího kapitálu tier 1 a souvisejícího emisního ážia. Pokud taková situace nastane, vedlejší kapitál tier 1 musí být roven nule a odpočty převyšující vedlejší kapitál tier 1 musí být odečteny od kmenového kapitálu tier 1.</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základě této položky se dosáhne toho, že součet položek 1.1.2.1 až 1.1.2.12 není nikdy menší než nula. Pokud je v této položce uvedeno kladné číslo, položka 1.1.1.16 bude zápornou hodnotou tohoto čísla.</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Dodatečné odpočty od vedlejšího kapitálu tier 1 s ohledem na článek 3 nařízení (EU) č. 575/2013</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3 </w:t>
            </w:r>
            <w:r>
              <w:t>nařízení (EU) č. 575/2013</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Prvky kapitálu AT1 nebo odpočty – ostatní</w:t>
            </w:r>
          </w:p>
          <w:p w14:paraId="31AC8BE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je určen výhradně pro účely vykazování a zajišťuje jeho flexibilitu.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vedlejšího kapitálu tier 1 nebo odpočet od této položky nelze přiřadit do jednoho z řádků 530 až 744.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w:t>
            </w:r>
            <w:proofErr w:type="gramStart"/>
            <w:r>
              <w:rPr>
                <w:rStyle w:val="InstructionsTabelleberschrift"/>
                <w:rFonts w:ascii="Times New Roman" w:hAnsi="Times New Roman"/>
                <w:b w:val="0"/>
                <w:sz w:val="24"/>
                <w:u w:val="none"/>
              </w:rPr>
              <w:t>neslouží</w:t>
            </w:r>
            <w:proofErr w:type="gramEnd"/>
            <w:r>
              <w:rPr>
                <w:rStyle w:val="InstructionsTabelleberschrift"/>
                <w:rFonts w:ascii="Times New Roman" w:hAnsi="Times New Roman"/>
                <w:b w:val="0"/>
                <w:sz w:val="24"/>
                <w:u w:val="none"/>
              </w:rPr>
              <w:t xml:space="preserve"> k zahrnutí kapitálových položek či odpočtů od kapitálu, na něž se </w:t>
            </w:r>
            <w:r>
              <w:t xml:space="preserve">nařízení (EU) č. 575/2013 </w:t>
            </w:r>
            <w:r>
              <w:rPr>
                <w:rStyle w:val="InstructionsTabelleberschrift"/>
                <w:rFonts w:ascii="Times New Roman" w:hAnsi="Times New Roman"/>
                <w:b w:val="0"/>
                <w:sz w:val="24"/>
                <w:u w:val="none"/>
              </w:rPr>
              <w:t xml:space="preserve">nevztahuje, do výpočtu </w:t>
            </w:r>
            <w:proofErr w:type="spellStart"/>
            <w:r>
              <w:rPr>
                <w:rStyle w:val="InstructionsTabelleberschrift"/>
                <w:rFonts w:ascii="Times New Roman" w:hAnsi="Times New Roman"/>
                <w:b w:val="0"/>
                <w:sz w:val="24"/>
                <w:u w:val="none"/>
              </w:rPr>
              <w:t>solventnostního</w:t>
            </w:r>
            <w:proofErr w:type="spellEnd"/>
            <w:r>
              <w:rPr>
                <w:rStyle w:val="InstructionsTabelleberschrift"/>
                <w:rFonts w:ascii="Times New Roman" w:hAnsi="Times New Roman"/>
                <w:b w:val="0"/>
                <w:sz w:val="24"/>
                <w:u w:val="none"/>
              </w:rPr>
              <w:t xml:space="preserve"> poměru (např. sem nelze zařadit položky či odpočty státního kapitálu, které nespadají do oblasti působnosti </w:t>
            </w:r>
            <w:r>
              <w:t>uvedeného nařízení</w:t>
            </w:r>
            <w:r>
              <w:rPr>
                <w:rStyle w:val="InstructionsTabelleberschrift"/>
                <w:rFonts w:ascii="Times New Roman" w:hAnsi="Times New Roman"/>
                <w:b w:val="0"/>
                <w:sz w:val="24"/>
                <w:u w:val="none"/>
              </w:rPr>
              <w:t>).</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KAPITÁL TIER 2</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71 </w:t>
            </w:r>
            <w:r>
              <w:t>nařízení (EU) č. 575/2013</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Kapitálové nástroje a emisní ážio způsobilé jako kapitál tier 2</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62 písm. a), článků 63 až 65, čl. 66 písm. a) a článku 67 </w:t>
            </w:r>
            <w:r>
              <w:t>nařízení (EU) č. 575/2013</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Plně uhrazené přímo vydané kapitálové nástroje</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62 písm. a), článků 63 a 65 </w:t>
            </w:r>
            <w:r>
              <w:t>nařízení (EU) č. 575/2013</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nezahrnuje emisní ážio související s těmito nástroji. </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Kapitálové nástroje mohou zahrnovat vlastní kapitál nebo závazky, včetně podřízených úvěrů, které splňují kritéria způsobilosti.</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Doplňková položka: Nezpůsobilé</w:t>
            </w:r>
            <w:r>
              <w:t xml:space="preserve"> </w:t>
            </w:r>
            <w:r>
              <w:rPr>
                <w:rStyle w:val="InstructionsTabelleberschrift"/>
                <w:rFonts w:ascii="Times New Roman" w:hAnsi="Times New Roman"/>
                <w:sz w:val="24"/>
              </w:rPr>
              <w:t>kapitálové nástroje</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63 písm. c), e) a f) a článku 64 </w:t>
            </w:r>
            <w:r>
              <w:t>nařízení (EU) č. 575/2013</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Kapitálové nástroje mohou zahrnovat vlastní kapitál nebo závazky, včetně podřízených úvěrů.</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Emisní ážio</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62 písm. b) a článku 65 </w:t>
            </w:r>
            <w:r>
              <w:t>nařízení (EU) č. 575/2013</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Emisní ážio má stejný význam jako v použitelném účetním standardu.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v této položce, je částí vztahující se k položce „Plně uhrazené přímo vydané kapitálové nástroje“.</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Vlastní nástroje zahrnované do kapitálu tier 2</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Ustanovení čl. 63 písm. b) bodu i), čl. 66 písm. a) a článku 67 </w:t>
            </w:r>
            <w:r>
              <w:t>nařízení (EU) č. 575/2013</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Vlastní nástroje zahrnované do kapitálu tier 2 držené vykazující institucí nebo skupinou k datu vykazování a hodnoty nástrojů zahrnovaných do kapitálu tier 2, které mají být odečteny podle čl. 28 odst. 2 nařízení v přenesené pravomoci (EU) č. 241/2014. S výhradou výjimek uvedených v článku 67 </w:t>
            </w:r>
            <w:r>
              <w:t>nařízení (EU) č. 575/2013</w:t>
            </w:r>
            <w:r>
              <w:rPr>
                <w:rStyle w:val="FormatvorlageInstructionsTabelleText"/>
                <w:rFonts w:ascii="Times New Roman" w:hAnsi="Times New Roman"/>
                <w:sz w:val="24"/>
              </w:rPr>
              <w:t>.</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nevykazují držby akcií zahrnuté v položce „Nezpůsobilé kapitálové nástroje“.</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zahrnuje emisní ážio související s vlastními akciemi.</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Položky 1.2.1.4 až 1.2.1.4.3 nezahrnují skutečné nebo podmíněné závazky odkoupit vlastní nástroje zahrnované do kapitálu tier 2. Skutečné nebo podmíněné závazky k odkupu vlastních nástrojů kapitálu tier 2 se vykazují samostatně v položce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Přímé kapitálové investice do nástrojů zahrnovaných do kapitálu tier 2</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63 písm. b), čl. 66 písm. a) a článku 67 </w:t>
            </w:r>
            <w:r>
              <w:t>nařízení (EU) č. 575/2013</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Nástroje zahrnované do kapitálu tier 2 uvedené v položce 1.2.1.1 držené institucemi v rámci konsolidované skupiny a hodnoty nástrojů zahrnovaných do kapitálu tier 2, které mají být odečteny v souladu s čl. 28 odst. 2 nařízení v přenesené pravomoci (EU) č. 241/2014.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Nepřímé kapitálové investice do nástrojů zahrnovaných do kapitálu tier 2</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Ustanovení čl. 4 odst. 1 bodu 114, čl. 63 písm. b), čl. 66 písm. a) a článku 67 </w:t>
            </w:r>
            <w:r>
              <w:t>nařízení (EU) č. 575/2013</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Syntetické kapitálové investice do nástrojů zahrnovaných do kapitálu tier 2</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Ustanovení čl. 4 odst. 1 bodu 126, čl. 63 písm. b), čl. 66 písm. a) a článku 67 </w:t>
            </w:r>
            <w:r>
              <w:t>nařízení (EU) č. 575/2013</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Skutečné nebo podmíněné závazky odkoupit vlastní nástroje zahrnované do kapitálu tier 2</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66 písm. a) a článku 67 </w:t>
            </w:r>
            <w:r>
              <w:t>nařízení (EU) č. 575/2013</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Podle </w:t>
            </w:r>
            <w:r>
              <w:rPr>
                <w:rStyle w:val="FormatvorlageInstructionsTabelleText"/>
                <w:rFonts w:ascii="Times New Roman" w:hAnsi="Times New Roman"/>
                <w:sz w:val="24"/>
              </w:rPr>
              <w:t xml:space="preserve">čl. 66 písm. a) </w:t>
            </w:r>
            <w:r>
              <w:t>nařízení (EU) č. 575/2013</w:t>
            </w:r>
            <w:r>
              <w:rPr>
                <w:rStyle w:val="InstructionsTabelleberschrift"/>
                <w:rFonts w:ascii="Times New Roman" w:hAnsi="Times New Roman"/>
                <w:b w:val="0"/>
                <w:sz w:val="24"/>
                <w:u w:val="none"/>
              </w:rPr>
              <w:t xml:space="preserve"> se provede </w:t>
            </w:r>
            <w:r>
              <w:t>odpočet „vlastních nástrojů zahrnovaných do kapitálu tier 2, které by instituce mohla být povinna odkoupit na základě stávajících smluvních závazků“.</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Přechodné úpravy provedené v důsledku nástrojů zahrnovaných do kapitálu tier 2, pro něž platí zachování právních účinků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483 odst. 6 a 7, článků 484, 486, 488, 490 a 491 </w:t>
            </w:r>
            <w:r>
              <w:t>nařízení (EU) č. 575/2013</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kapitálových nástrojů, které díky přechodnému zachování právních účinků nadále odpovídají kapitálu tier 2. Částka, která má být vykázána, se přímo přejímá ze šablony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Nástroje vydané dceřinými podniky a uznané v kapitálu tier 2</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Články 83, 87 a 88 </w:t>
            </w:r>
            <w:r>
              <w:t>nařízení (EU) č. 575/2013</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Součet všech částek kvalifikovaného kapitálu dceřiných podniků, který se zahrne do konsolidovaného kapitálu tier 2.</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Je zahrnut kvalifikovaný kapitál tier 2 vydaný jednotkou pro speciální účel (článek 83 </w:t>
            </w:r>
            <w:r>
              <w:t>nařízení (EU) č. 575/2013</w:t>
            </w:r>
            <w:r>
              <w:rPr>
                <w:rStyle w:val="FormatvorlageInstructionsTabelleText"/>
                <w:rFonts w:ascii="Times New Roman" w:hAnsi="Times New Roman"/>
                <w:sz w:val="24"/>
              </w:rPr>
              <w:t>).</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Přechodné úpravy v důsledku dodatečného uznání nástrojů, které byly vydány dceřinými podniky, v kapitálu tier 2</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480 </w:t>
            </w:r>
            <w:r>
              <w:t>nařízení (EU) č. 575/2013</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Úpravy kvalifikovaného kapitálu zahrnutého v konsolidovaném kapitálu tier 2 provedené v důsledku přechodných ustanovení. Tato položka se přejímá přímo ze šablony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Přebytek rezerv v porovnání se způsobilými očekávanými ztrátami při přístupu IRB</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62 písm. d) </w:t>
            </w:r>
            <w:r>
              <w:t>nařízení (EU) č. 575/2013</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institucí, které vypočítávají objemy rizikově vážených expozic v souladu s přístupem IRB, tato položka musí obsahovat kladné částky vyplývající z porovnání rezerv a očekávaných ztrát, které jsou způsobilé jako kapitál tier 2.</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Obecné úpravy o úvěrové riziko v rámci standardizovaného přístupu</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62 písm. c) </w:t>
            </w:r>
            <w:r>
              <w:t>nařízení (EU) č. 575/2013</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institucí, které vypočítávají objemy rizikově vážených expozic podle standardizovaného přístupu, tato položka musí obsahovat obecné úpravy o úvěrové riziko, které jsou způsobilé jako kapitál tier 2.</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Vzájemná účast na kapitálu tier 2</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122, čl. 66 písm. b) a článku 68 </w:t>
            </w:r>
            <w:r>
              <w:t>nařízení (EU) č. 575/2013</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Účasti subjektů finančního sektoru (ve smyslu čl. 4 odst. 1 bodu 27 </w:t>
            </w:r>
            <w:r>
              <w:t>nařízení (EU) č. 575/2013</w:t>
            </w:r>
            <w:r>
              <w:rPr>
                <w:rStyle w:val="FormatvorlageInstructionsTabelleText"/>
                <w:rFonts w:ascii="Times New Roman" w:hAnsi="Times New Roman"/>
                <w:sz w:val="24"/>
              </w:rPr>
              <w:t>) v nástrojích zahrnovaných do kapitálu tier 2, jedná-li se o vztah vzájemné účasti a příslušný orgán se domnívá, že jeho účelem je uměle zvýšit kapitál instituce.</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vypočítá na základě hrubých dlouhých pozic a zahrnuje položky kapitálu tier 2 a tier 3 pojišťovny.</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Nástroje zahrnované do kapitálu tier 2 subjektů finančního sektoru, v nichž instituce nemá významnou investici</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27, čl. 66 písm. c), článků 68 až 70 a článku 79 </w:t>
            </w:r>
            <w:r>
              <w:t>nařízení (EU) č. 575/2013</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 kapitálových investic instituce do nástrojů subjektů finančního sektoru (ve smyslu čl. 4 odst. 1 bodu 27 </w:t>
            </w:r>
            <w:r>
              <w:t>nařízení (EU) č. 575/2013</w:t>
            </w:r>
            <w:r>
              <w:rPr>
                <w:rStyle w:val="FormatvorlageInstructionsTabelleText"/>
                <w:rFonts w:ascii="Times New Roman" w:hAnsi="Times New Roman"/>
                <w:sz w:val="24"/>
              </w:rPr>
              <w:t>), v nichž instituce nemá významnou investici, která musí být odečtena od kapitálu tier 2.</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Nástroje zahrnované do kapitálu tier 2 subjektů finančního sektoru, v nichž má instituce významnou investici</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 odst. 1 bodu 27, čl. 66 písm. d), článků 68, 69 a 79 </w:t>
            </w:r>
            <w:r>
              <w:t>nařízení (EU) č. 575/2013</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Kapitálové investice instituce do nástrojů kapitálu tier 2 subjektů finančního sektoru (ve smyslu čl. 4 odst. 1 bodu 27 </w:t>
            </w:r>
            <w:r>
              <w:t>nařízení (EU) č. 575/2013</w:t>
            </w:r>
            <w:r>
              <w:rPr>
                <w:rStyle w:val="FormatvorlageInstructionsTabelleText"/>
                <w:rFonts w:ascii="Times New Roman" w:hAnsi="Times New Roman"/>
                <w:sz w:val="24"/>
              </w:rPr>
              <w:t>), v nichž má instituce významnou investici, se odečítají v plném rozsahu.</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Odpočty od způsobilých závazků, které převyšují způsobilé závazky</w:t>
            </w:r>
          </w:p>
          <w:p w14:paraId="4449F407"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Ustanovení čl. 66 písm. e) </w:t>
            </w:r>
            <w:r>
              <w:t>nařízení (EU) č. 575/2013</w:t>
            </w:r>
            <w:r>
              <w:rPr>
                <w:rStyle w:val="FormatvorlageInstructionsTabelleText"/>
                <w:rFonts w:ascii="Times New Roman" w:hAnsi="Times New Roman"/>
                <w:sz w:val="24"/>
              </w:rPr>
              <w:t>.</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Ostatní přechodné úpravy kapitálu tier 2</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472, 476, 477, 478 a 481</w:t>
            </w:r>
            <w:r>
              <w:t xml:space="preserve"> nařízení (EU) č. 575/2013.</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provedené v důsledku přechodných ustanovení. Částka, která má být vykázána, se přímo přejímá ze šablony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Odpočet od položek kapitálu tier 2, který přesahuje výši kapitálu tier 2 (odečítá se od vedlejšího kapitálu tier 1)</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56 písm. e) </w:t>
            </w:r>
            <w:r>
              <w:t>nařízení (EU) č. 575/2013</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 tier 2 nemůže být záporný, ale je možné, že odpočty od kapitálu tier 2 převyšují součet kapitálu tier 2 a souvisejícího emisního ážia. Pokud taková situace nastane, kapitál tier 2 musí být roven nule a odpočty převyšující kapitál tier 2 musí být odečteny od vedlejšího kapitálu tier 1.</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základě této položky není součet položek 1.2.1 až 1.2.13 nikdy menší než nula. Pokud je v této položce uvedeno kladné číslo, položka 1.1.2.8 bude zápornou hodnotou tohoto čísla.</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Dodatečné odpočty od kapitálu tier 2 s ohledem na článek 3 nařízení (EU) č. 575/2013</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3 </w:t>
            </w:r>
            <w:r>
              <w:t>nařízení (EU) č. 575/2013</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Položky nebo odpočty od kapitálu tier 2 – jiné </w:t>
            </w:r>
          </w:p>
          <w:p w14:paraId="0DF4E3A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je určen výhradně pro účely vykazování a zajišťuje jeho flexibilitu.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kapitálu tier 2 nebo odpočet od položky kapitálu tier 2 nelze přiřadit do jednoho z řádků 750 až 974.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w:t>
            </w:r>
            <w:proofErr w:type="gramStart"/>
            <w:r>
              <w:rPr>
                <w:rStyle w:val="InstructionsTabelleberschrift"/>
                <w:rFonts w:ascii="Times New Roman" w:hAnsi="Times New Roman"/>
                <w:b w:val="0"/>
                <w:sz w:val="24"/>
                <w:u w:val="none"/>
              </w:rPr>
              <w:t>neslouží</w:t>
            </w:r>
            <w:proofErr w:type="gramEnd"/>
            <w:r>
              <w:rPr>
                <w:rStyle w:val="InstructionsTabelleberschrift"/>
                <w:rFonts w:ascii="Times New Roman" w:hAnsi="Times New Roman"/>
                <w:b w:val="0"/>
                <w:sz w:val="24"/>
                <w:u w:val="none"/>
              </w:rPr>
              <w:t xml:space="preserve"> k zahrnutí kapitálových položek či odpočtů od kapitálu, na něž se </w:t>
            </w:r>
            <w:r>
              <w:t xml:space="preserve">nařízení (EU) č. 575/2013 </w:t>
            </w:r>
            <w:r>
              <w:rPr>
                <w:rStyle w:val="InstructionsTabelleberschrift"/>
                <w:rFonts w:ascii="Times New Roman" w:hAnsi="Times New Roman"/>
                <w:b w:val="0"/>
                <w:sz w:val="24"/>
                <w:u w:val="none"/>
              </w:rPr>
              <w:t xml:space="preserve">nevztahuje, do výpočtu </w:t>
            </w:r>
            <w:proofErr w:type="spellStart"/>
            <w:r>
              <w:rPr>
                <w:rStyle w:val="InstructionsTabelleberschrift"/>
                <w:rFonts w:ascii="Times New Roman" w:hAnsi="Times New Roman"/>
                <w:b w:val="0"/>
                <w:sz w:val="24"/>
                <w:u w:val="none"/>
              </w:rPr>
              <w:t>solventnostního</w:t>
            </w:r>
            <w:proofErr w:type="spellEnd"/>
            <w:r>
              <w:rPr>
                <w:rStyle w:val="InstructionsTabelleberschrift"/>
                <w:rFonts w:ascii="Times New Roman" w:hAnsi="Times New Roman"/>
                <w:b w:val="0"/>
                <w:sz w:val="24"/>
                <w:u w:val="none"/>
              </w:rPr>
              <w:t xml:space="preserve"> poměru (např. sem nelze zařadit položky či odpočty státního kapitálu, které nespadají do oblasti působnosti </w:t>
            </w:r>
            <w:r>
              <w:t>uvedeného nařízení</w:t>
            </w:r>
            <w:r>
              <w:rPr>
                <w:rStyle w:val="InstructionsTabelleberschrift"/>
                <w:rFonts w:ascii="Times New Roman" w:hAnsi="Times New Roman"/>
                <w:b w:val="0"/>
                <w:sz w:val="24"/>
                <w:u w:val="none"/>
              </w:rPr>
              <w:t>).</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t>1.3</w:t>
      </w:r>
      <w:r>
        <w:tab/>
        <w:t>C 02.00 – KAPITÁLOVÉ POŽADAVKY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1.3.1</w:t>
      </w:r>
      <w:r>
        <w:tab/>
        <w:t>Pokyny pro konkrétní</w:t>
      </w:r>
      <w:bookmarkEnd w:id="23"/>
      <w:bookmarkEnd w:id="24"/>
      <w:r>
        <w:t xml:space="preserve"> pozice</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Sloupce</w:t>
            </w:r>
          </w:p>
        </w:tc>
        <w:tc>
          <w:tcPr>
            <w:tcW w:w="7274" w:type="dxa"/>
            <w:shd w:val="clear" w:color="auto" w:fill="D9D9D9"/>
          </w:tcPr>
          <w:p w14:paraId="190CA9EE" w14:textId="77777777" w:rsidR="00CC7D2C" w:rsidRPr="002A677E" w:rsidRDefault="00CC7D2C" w:rsidP="00320EFD">
            <w:pPr>
              <w:pStyle w:val="InstructionsText"/>
            </w:pPr>
            <w:r>
              <w:t>Odkazy na právní předpisy a pokyny</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0010</w:t>
            </w:r>
          </w:p>
        </w:tc>
        <w:tc>
          <w:tcPr>
            <w:tcW w:w="7274" w:type="dxa"/>
          </w:tcPr>
          <w:p w14:paraId="1754203D" w14:textId="77777777" w:rsidR="00CC7D2C" w:rsidRPr="002A677E" w:rsidRDefault="00CC7D2C" w:rsidP="00320EFD">
            <w:pPr>
              <w:pStyle w:val="InstructionsText"/>
            </w:pPr>
            <w:r>
              <w:rPr>
                <w:rStyle w:val="InstructionsTabelleberschrift"/>
                <w:rFonts w:ascii="Times New Roman" w:hAnsi="Times New Roman"/>
                <w:sz w:val="24"/>
              </w:rPr>
              <w:t>CELKOVÝ OBJEM RIZIKOVÉ EXPOZICE</w:t>
            </w:r>
          </w:p>
          <w:p w14:paraId="11658B1F" w14:textId="77777777" w:rsidR="00CC7D2C" w:rsidRPr="002A677E" w:rsidRDefault="00CC7D2C" w:rsidP="00320EFD">
            <w:pPr>
              <w:pStyle w:val="InstructionsText"/>
            </w:pPr>
            <w:r>
              <w:t>Ustanovení čl. 92 odst. 3 a článků 95, 96 a 98 nařízení (EU) č. 575/2013</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lastRenderedPageBreak/>
              <w:t>0020</w:t>
            </w:r>
          </w:p>
        </w:tc>
        <w:tc>
          <w:tcPr>
            <w:tcW w:w="7274" w:type="dxa"/>
          </w:tcPr>
          <w:p w14:paraId="0B7A5E95" w14:textId="77777777" w:rsidR="00CC7D2C" w:rsidRPr="002A677E" w:rsidRDefault="00CC7D2C" w:rsidP="00320EFD">
            <w:pPr>
              <w:pStyle w:val="InstructionsText"/>
            </w:pPr>
            <w:r>
              <w:rPr>
                <w:rStyle w:val="InstructionsTabelleberschrift"/>
                <w:rFonts w:ascii="Times New Roman" w:hAnsi="Times New Roman"/>
                <w:sz w:val="24"/>
              </w:rPr>
              <w:t>MINIMÁLNÍ VÝSTUPNÍ PRÁH S-TREA</w:t>
            </w:r>
          </w:p>
          <w:p w14:paraId="1D5124AF" w14:textId="2240D9CF" w:rsidR="00CC7D2C" w:rsidRDefault="00C32586" w:rsidP="00320EFD">
            <w:pPr>
              <w:pStyle w:val="InstructionsText"/>
            </w:pPr>
            <w:r>
              <w:t>Instituce, na něž se vztahuje minimální výstupní práh podle čl. 92 odst. 3 nařízení (EU) č. 575/2013, vykazují standardizovaný celkový objem rizikové expozice (S-TREA) vypočtený v souladu s čl. 92 odst. 5. Tento sloupec se vztahuje pouze na instituce, které používají interní modely.</w:t>
            </w:r>
          </w:p>
          <w:p w14:paraId="4831FC09" w14:textId="08537DA3" w:rsidR="00585ABC" w:rsidRDefault="00585ABC" w:rsidP="00320EFD">
            <w:pPr>
              <w:pStyle w:val="InstructionsText"/>
            </w:pPr>
            <w:r>
              <w:t>V řádcích, kde se k výpočtu objemu rizikově vážené expozice používají přístupy založené na interních modelech, se vykazují standardizované částky pro tyto expozice.</w:t>
            </w:r>
          </w:p>
          <w:p w14:paraId="708B2B94" w14:textId="2316755B" w:rsidR="00585ABC" w:rsidRPr="002A677E" w:rsidRDefault="00585ABC" w:rsidP="00320EFD">
            <w:pPr>
              <w:pStyle w:val="InstructionsText"/>
            </w:pPr>
            <w:r>
              <w:t>V řádcích, kde se k výpočtu objemu rizikově vážené expozice používají standardizované přístupy, se vykazují stejné částky, které se pro tyto expozice vykazují ve sloupci 0010.</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t>Řádek</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Odkazy na právní předpisy a pokyny</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0010</w:t>
            </w:r>
          </w:p>
        </w:tc>
        <w:tc>
          <w:tcPr>
            <w:tcW w:w="7274" w:type="dxa"/>
          </w:tcPr>
          <w:p w14:paraId="2D3B9E77"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CELKOVÝ OBJEM RIZIKOVÉ EXPOZICE</w:t>
            </w:r>
          </w:p>
          <w:p w14:paraId="633B0735" w14:textId="77777777" w:rsidR="00CC7D2C" w:rsidRPr="002A677E" w:rsidRDefault="00CC7D2C" w:rsidP="00320EFD">
            <w:pPr>
              <w:pStyle w:val="InstructionsText"/>
            </w:pPr>
            <w:r>
              <w:t>Ustanovení čl. 92 odst. 3 a článků 95, 96 a 98 nařízení (EU) č. 575/2013</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t>0020</w:t>
            </w:r>
          </w:p>
        </w:tc>
        <w:tc>
          <w:tcPr>
            <w:tcW w:w="7274" w:type="dxa"/>
          </w:tcPr>
          <w:p w14:paraId="427ABF71"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Z toho: investiční podniky podle čl. 95 odst. 2 a článku 98 nařízení (EU) č. 575/2013</w:t>
            </w:r>
          </w:p>
          <w:p w14:paraId="7A0F1D20" w14:textId="77777777" w:rsidR="00CC7D2C" w:rsidRPr="002A677E" w:rsidRDefault="00CC7D2C" w:rsidP="00320EFD">
            <w:pPr>
              <w:pStyle w:val="InstructionsText"/>
            </w:pPr>
            <w:r>
              <w:t xml:space="preserve">Týká se investičních podniků podle čl. 95 </w:t>
            </w:r>
            <w:r>
              <w:rPr>
                <w:rStyle w:val="FormatvorlageInstructionsTabelleText"/>
                <w:rFonts w:ascii="Times New Roman" w:hAnsi="Times New Roman"/>
                <w:sz w:val="24"/>
              </w:rPr>
              <w:t xml:space="preserve">odst. 2 </w:t>
            </w:r>
            <w:r>
              <w:t>a článku 98 nařízení (EU) č. 575/2013</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t>0030</w:t>
            </w:r>
          </w:p>
        </w:tc>
        <w:tc>
          <w:tcPr>
            <w:tcW w:w="7274" w:type="dxa"/>
          </w:tcPr>
          <w:p w14:paraId="65F85EFA"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Z toho: investiční podniky podle čl. 96 odst. 2 a článku 97 nařízení (EU) č. 575/2013</w:t>
            </w:r>
          </w:p>
          <w:p w14:paraId="04608E0A" w14:textId="77777777" w:rsidR="00CC7D2C" w:rsidRPr="002A677E" w:rsidRDefault="00CC7D2C" w:rsidP="00320EFD">
            <w:pPr>
              <w:pStyle w:val="InstructionsText"/>
            </w:pPr>
            <w:r>
              <w:t xml:space="preserve">Týká se investičních podniků podle čl. 96 </w:t>
            </w:r>
            <w:r>
              <w:rPr>
                <w:rStyle w:val="FormatvorlageInstructionsTabelleText"/>
                <w:rFonts w:ascii="Times New Roman" w:hAnsi="Times New Roman"/>
                <w:sz w:val="24"/>
              </w:rPr>
              <w:t xml:space="preserve">odst. 2 </w:t>
            </w:r>
            <w:r>
              <w:t>a článku 97 nařízení (EU) č. 575/2013</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t>0035</w:t>
            </w:r>
          </w:p>
        </w:tc>
        <w:tc>
          <w:tcPr>
            <w:tcW w:w="7274" w:type="dxa"/>
          </w:tcPr>
          <w:p w14:paraId="0710542B"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Z toho: Úprava s ohledem na práh</w:t>
            </w:r>
          </w:p>
          <w:p w14:paraId="1879A8CD" w14:textId="65429001" w:rsidR="00CC7D2C" w:rsidRPr="002A677E" w:rsidRDefault="00A8011A" w:rsidP="00320EFD">
            <w:pPr>
              <w:pStyle w:val="InstructionsText"/>
              <w:rPr>
                <w:rStyle w:val="InstructionsTabelleberschrift"/>
                <w:rFonts w:ascii="Times New Roman" w:hAnsi="Times New Roman"/>
                <w:sz w:val="24"/>
              </w:rPr>
            </w:pPr>
            <w:r>
              <w:t>Instituce, na něž se vztahuje minimální výstupní práh podle čl. 92 odst. 3 nařízení (EU) č. 575/2013, vykazují rozdíl mezi částkou vykázanou v řádku 0010 a částkou vykázanou v řádku 0036. Částka je buď kladná, nebo rovna nule.</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1a CELKOVÝ OBJEM RIZIKOVÉ EXPOZICE PŘED POUŽITÍM PRAHU</w:t>
            </w:r>
          </w:p>
          <w:p w14:paraId="7BCD0DA1" w14:textId="04714494" w:rsidR="00CC7D2C" w:rsidRPr="002A677E" w:rsidRDefault="00A8011A" w:rsidP="00320EFD">
            <w:pPr>
              <w:pStyle w:val="InstructionsText"/>
              <w:rPr>
                <w:rStyle w:val="InstructionsTabelleberschrift"/>
                <w:rFonts w:ascii="Times New Roman" w:hAnsi="Times New Roman"/>
                <w:sz w:val="24"/>
              </w:rPr>
            </w:pPr>
            <w:r>
              <w:t>Instituce, na něž se vztahuje minimální výstupní práh podle čl. 92 odst. 3 nařízení (EU) č. 575/2013, vykazují částku celkového objemu rizikové expozice před uplatněním prahu podle čl. 92 odst. 4 nařízení (EU) č. 575/2013.</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OBJEMY RIZIKOVĚ VÁŽENÝCH EXPOZIC PRO ÚVĚROVÉ RIZIKO, ÚVĚROVÉ RIZIKO PROTISTRANY A RIZIKO ROZMĚLNĚNÍ A VOLNÉ DODÁVKY</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92 odst. 3 a čl. 92 odst. 4 písm. a) </w:t>
            </w:r>
            <w:r>
              <w:t>nařízení (EU) č. 575/2013</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Standardizovaný přístup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Šablony CR SA a SEC SA na úrovni celkových expozic.</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Z toho: dodatečné přísnější obezřetnostní požadavky podle článku 124 nařízení (EU) č. 575/2013</w:t>
            </w:r>
          </w:p>
          <w:p w14:paraId="4A7F7245" w14:textId="3BCE1E49" w:rsidR="00CC7D2C" w:rsidRPr="002A677E" w:rsidRDefault="00CC7D2C" w:rsidP="00320EFD">
            <w:pPr>
              <w:pStyle w:val="InstructionsText"/>
              <w:rPr>
                <w:rStyle w:val="InstructionsTabelleberschrift"/>
                <w:rFonts w:ascii="Times New Roman" w:hAnsi="Times New Roman"/>
                <w:sz w:val="24"/>
              </w:rPr>
            </w:pPr>
            <w:r>
              <w:t>Instituce vykazují další objemy rizikových expozic, které jsou nutné ke splnění přísnějších obezřetnostních požadavků sdělených institucím poté, co byly konzultovány s orgánem EBA, v souladu s čl. 124 odst. 8 až 13 nařízení (EU) č. 575/2013.</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Kategorie expozic, na něž se vztahuje standardizovaný přístup, s výjimkou sekuritizovaných pozic</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Šablona CR SA na úrovni celkových expozic. Kategorie expozic, na něž se vztahuje standardizovaný přístup, </w:t>
            </w:r>
            <w:r>
              <w:rPr>
                <w:rStyle w:val="InstructionsTabelleberschrift"/>
                <w:rFonts w:ascii="Times New Roman" w:hAnsi="Times New Roman"/>
                <w:b w:val="0"/>
                <w:sz w:val="24"/>
                <w:u w:val="none"/>
              </w:rPr>
              <w:t>jsou uvedeny</w:t>
            </w:r>
            <w:r>
              <w:rPr>
                <w:rStyle w:val="FormatvorlageInstructionsTabelleText"/>
                <w:rFonts w:ascii="Times New Roman" w:hAnsi="Times New Roman"/>
                <w:sz w:val="24"/>
              </w:rPr>
              <w:t xml:space="preserve"> v článku 112 </w:t>
            </w:r>
            <w:r>
              <w:t>nařízení (EU) č. 575/2013</w:t>
            </w:r>
            <w:r>
              <w:rPr>
                <w:rStyle w:val="FormatvorlageInstructionsTabelleText"/>
                <w:rFonts w:ascii="Times New Roman" w:hAnsi="Times New Roman"/>
                <w:sz w:val="24"/>
              </w:rPr>
              <w:t>, přičemž výjimku představují sekuritizační pozice.</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Ústřední vlády nebo centrální banky</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Viz šablona CR SA.</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Regionální vlády nebo místní orgány</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Subjekty veřejného sektoru</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Mezinárodní rozvojové banky</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Viz šablona CR SA.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Mezinárodní organizace</w:t>
            </w:r>
          </w:p>
          <w:p w14:paraId="082FC9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Instituce</w:t>
            </w:r>
          </w:p>
          <w:p w14:paraId="3FF59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1.1.1.1.07a</w:t>
            </w:r>
            <w:r>
              <w:tab/>
            </w:r>
            <w:r>
              <w:rPr>
                <w:rStyle w:val="InstructionsTabelleberschrift"/>
                <w:rFonts w:ascii="Times New Roman" w:hAnsi="Times New Roman"/>
                <w:sz w:val="24"/>
              </w:rPr>
              <w:t>Podniky – ostatní</w:t>
            </w:r>
          </w:p>
          <w:p w14:paraId="6D6C27F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1.1.1.1.07b</w:t>
            </w:r>
            <w:r>
              <w:tab/>
            </w:r>
            <w:r>
              <w:rPr>
                <w:rStyle w:val="InstructionsTabelleberschrift"/>
                <w:rFonts w:ascii="Times New Roman" w:hAnsi="Times New Roman"/>
                <w:sz w:val="24"/>
              </w:rPr>
              <w:t>Podniky – specializované úvěry</w:t>
            </w:r>
          </w:p>
          <w:p w14:paraId="5377FC4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Retailové expozice</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Expozice zajištěné hypotékami na nemovitosti a expozice ADC</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w:t>
            </w:r>
            <w:r>
              <w:rPr>
                <w:rStyle w:val="InstructionsTabelleberschrift"/>
              </w:rPr>
              <w:t xml:space="preserve"> </w:t>
            </w:r>
            <w:r>
              <w:rPr>
                <w:rStyle w:val="InstructionsTabelleberschrift"/>
                <w:rFonts w:ascii="Times New Roman" w:hAnsi="Times New Roman"/>
                <w:sz w:val="24"/>
              </w:rPr>
              <w:t>Expozice zajištěné hypotékami na obytné nemovitosti – jiné než IPRE (zajištěné)</w:t>
            </w:r>
          </w:p>
          <w:p w14:paraId="0E4B47C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Viz šablona CR SA</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0152</w:t>
            </w:r>
          </w:p>
        </w:tc>
        <w:tc>
          <w:tcPr>
            <w:tcW w:w="7274" w:type="dxa"/>
          </w:tcPr>
          <w:p w14:paraId="399D5AA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w:t>
            </w:r>
            <w:r>
              <w:rPr>
                <w:rStyle w:val="InstructionsTabelleberschrift"/>
              </w:rPr>
              <w:t xml:space="preserve"> </w:t>
            </w:r>
            <w:r>
              <w:rPr>
                <w:rStyle w:val="InstructionsTabelleberschrift"/>
                <w:rFonts w:ascii="Times New Roman" w:hAnsi="Times New Roman"/>
                <w:sz w:val="24"/>
              </w:rPr>
              <w:t>Expozice zajištěné hypotékami na obytné nemovitosti – jiné než IPRE (nezajištěné)</w:t>
            </w:r>
          </w:p>
          <w:p w14:paraId="64AB7DC0"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70A4C101"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w:t>
            </w:r>
            <w:r>
              <w:rPr>
                <w:rStyle w:val="InstructionsTabelleberschrift"/>
              </w:rPr>
              <w:t xml:space="preserve"> </w:t>
            </w:r>
            <w:r>
              <w:rPr>
                <w:rStyle w:val="InstructionsTabelleberschrift"/>
                <w:rFonts w:ascii="Times New Roman" w:hAnsi="Times New Roman"/>
                <w:sz w:val="24"/>
              </w:rPr>
              <w:t>Expozice zajištěné hypotékami na obytné nemovitosti – ostatní – jiné než IPRE</w:t>
            </w:r>
          </w:p>
          <w:p w14:paraId="4DB0C17D" w14:textId="496B7C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6F749CA5"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 Expozice zajištěné hypotékami na obytné nemovitosti – IPRE</w:t>
            </w:r>
          </w:p>
          <w:p w14:paraId="6D902F9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w:t>
            </w:r>
            <w:r>
              <w:rPr>
                <w:rStyle w:val="InstructionsTabelleberschrift"/>
              </w:rPr>
              <w:t xml:space="preserve"> </w:t>
            </w:r>
            <w:r>
              <w:rPr>
                <w:rStyle w:val="InstructionsTabelleberschrift"/>
                <w:rFonts w:ascii="Times New Roman" w:hAnsi="Times New Roman"/>
                <w:sz w:val="24"/>
              </w:rPr>
              <w:t>Expozice zajištěné hypotékami na obytné nemovitosti – ostatní – IPRE</w:t>
            </w:r>
          </w:p>
          <w:p w14:paraId="2905ED45" w14:textId="547862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0156</w:t>
            </w:r>
          </w:p>
        </w:tc>
        <w:tc>
          <w:tcPr>
            <w:tcW w:w="7274" w:type="dxa"/>
          </w:tcPr>
          <w:p w14:paraId="6946143D" w14:textId="768332EC"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w:t>
            </w:r>
            <w:r>
              <w:rPr>
                <w:rStyle w:val="InstructionsTabelleberschrift"/>
              </w:rPr>
              <w:t xml:space="preserve"> </w:t>
            </w:r>
            <w:r>
              <w:rPr>
                <w:rStyle w:val="InstructionsTabelleberschrift"/>
                <w:rFonts w:ascii="Times New Roman" w:hAnsi="Times New Roman"/>
                <w:sz w:val="24"/>
              </w:rPr>
              <w:t>Expozice zajištěné hypotékami na obchodní nemovitosti – jiné než IPRE (zajištěné)</w:t>
            </w:r>
          </w:p>
          <w:p w14:paraId="40835C13"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CDED3B6"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w:t>
            </w:r>
            <w:r>
              <w:rPr>
                <w:rStyle w:val="InstructionsTabelleberschrift"/>
              </w:rPr>
              <w:t xml:space="preserve"> </w:t>
            </w:r>
            <w:r>
              <w:rPr>
                <w:rStyle w:val="InstructionsTabelleberschrift"/>
                <w:rFonts w:ascii="Times New Roman" w:hAnsi="Times New Roman"/>
                <w:sz w:val="24"/>
              </w:rPr>
              <w:t>Expozice zajištěné hypotékami na obchodní nemovitosti – jiné než IPRE (nezajištěné)</w:t>
            </w:r>
          </w:p>
          <w:p w14:paraId="5DAFF51B"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69FA6B3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w:t>
            </w:r>
            <w:r>
              <w:rPr>
                <w:rStyle w:val="InstructionsTabelleberschrift"/>
              </w:rPr>
              <w:t xml:space="preserve"> </w:t>
            </w:r>
            <w:r>
              <w:rPr>
                <w:rStyle w:val="InstructionsTabelleberschrift"/>
                <w:rFonts w:ascii="Times New Roman" w:hAnsi="Times New Roman"/>
                <w:sz w:val="24"/>
              </w:rPr>
              <w:t>Expozice zajištěné hypotékami na obchodní nemovitosti – ostatní – jiné než IPRE</w:t>
            </w:r>
          </w:p>
          <w:p w14:paraId="0772E508" w14:textId="000070F8"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0159</w:t>
            </w:r>
          </w:p>
        </w:tc>
        <w:tc>
          <w:tcPr>
            <w:tcW w:w="7274" w:type="dxa"/>
          </w:tcPr>
          <w:p w14:paraId="2F61A8A6" w14:textId="5281EB48"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 Expozice zajištěné hypotékami na obchodní nemovitosti – IPRE</w:t>
            </w:r>
          </w:p>
          <w:p w14:paraId="508FA811" w14:textId="59F16FE0"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274" w:type="dxa"/>
          </w:tcPr>
          <w:p w14:paraId="7D6AE7C2" w14:textId="61F789FD"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1.1.1.1.09.9a</w:t>
            </w:r>
            <w:r>
              <w:rPr>
                <w:rStyle w:val="InstructionsTabelleberschrift"/>
              </w:rPr>
              <w:t xml:space="preserve"> </w:t>
            </w:r>
            <w:r>
              <w:rPr>
                <w:rStyle w:val="InstructionsTabelleberschrift"/>
                <w:rFonts w:ascii="Times New Roman" w:hAnsi="Times New Roman"/>
                <w:sz w:val="24"/>
              </w:rPr>
              <w:t>Expozice zajištěné hypotékami na obchodní nemovitosti – ostatní – IPRE</w:t>
            </w:r>
          </w:p>
          <w:p w14:paraId="0949ED7F"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1.1.1.1.09.9b Expozice z pořízení pozemku, přípravy a výstavby (ADC)</w:t>
            </w:r>
          </w:p>
          <w:p w14:paraId="44966D4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Expozice v selhání</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Podřízené dluhové expozice</w:t>
            </w:r>
          </w:p>
          <w:p w14:paraId="459A982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Kryté dluhopisy</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Viz šablona CR SA.</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Pohledávky vůči institucím a podnikům s krátkodobým úvěrovým hodnocením</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Subjekty kolektivního investování</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Vlastní kapitál</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Další položky</w:t>
            </w:r>
          </w:p>
          <w:p w14:paraId="0F6109C6" w14:textId="77777777" w:rsidR="00CC7D2C" w:rsidRPr="002A677E" w:rsidRDefault="00CC7D2C" w:rsidP="00320EFD">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Viz šablona CR SA.</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Z toho: aktiva v podobě softwaru zaúčtovaná jako nehmotná aktiva</w:t>
            </w:r>
          </w:p>
          <w:p w14:paraId="665DD53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Objem rizikově vážených expozic týkající se části aktiv v podobě softwaru zaúčtovaných jako nehmotná aktiva, který není odečten od položek kmenového kapitálu tier 1 podle čl. 36 odst. 1 písm. b) </w:t>
            </w:r>
            <w:r>
              <w:t>nařízení (EU) č. 575/2013</w:t>
            </w:r>
            <w:r>
              <w:rPr>
                <w:rStyle w:val="FormatvorlageInstructionsTabelleText"/>
                <w:rFonts w:ascii="Times New Roman" w:hAnsi="Times New Roman"/>
                <w:sz w:val="24"/>
              </w:rPr>
              <w:t xml:space="preserve">, nýbrž se mu přidělí riziková váha v souladu s čl. 113 odst. 5 </w:t>
            </w:r>
            <w:r>
              <w:t>uvedeného nařízení</w:t>
            </w:r>
            <w:r>
              <w:rPr>
                <w:rStyle w:val="FormatvorlageInstructionsTabelleText"/>
                <w:rFonts w:ascii="Times New Roman" w:hAnsi="Times New Roman"/>
                <w:sz w:val="24"/>
              </w:rPr>
              <w:t>.</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Přístup založený na interním ratingu (IRB)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Z toho: dodatečné přísnější obezřetnostní požadavky podle článku 164 nařízení (EU) č. 575/2013</w:t>
            </w:r>
          </w:p>
          <w:p w14:paraId="6560C4C8" w14:textId="77777777" w:rsidR="00CC7D2C" w:rsidRPr="002A677E" w:rsidRDefault="00CC7D2C" w:rsidP="00320EFD">
            <w:pPr>
              <w:pStyle w:val="InstructionsText"/>
              <w:rPr>
                <w:rStyle w:val="InstructionsTabelleberschrift"/>
                <w:rFonts w:ascii="Times New Roman" w:hAnsi="Times New Roman"/>
                <w:sz w:val="24"/>
              </w:rPr>
            </w:pPr>
            <w:r>
              <w:t>Instituce vykazují další objemy rizikových expozic, které jsou nutné ke splnění přísnějších obezřetnostních požadavků sdělených institucím poté, co byly oznámeny orgánu EBA, v souladu s čl. 164 odst. 5 a 7 nařízení (EU) č. 575/2013.</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Z toho: dodatečné přísnější obezřetnostní požadavky podle článku 124 nařízení (EU) č. 575/2013</w:t>
            </w:r>
          </w:p>
          <w:p w14:paraId="15832D3F" w14:textId="33F29755" w:rsidR="00CC7D2C" w:rsidRPr="002A677E" w:rsidRDefault="00CC7D2C" w:rsidP="00320EFD">
            <w:pPr>
              <w:pStyle w:val="InstructionsText"/>
              <w:rPr>
                <w:rStyle w:val="InstructionsTabelleberschrift"/>
                <w:rFonts w:ascii="Times New Roman" w:hAnsi="Times New Roman"/>
                <w:sz w:val="24"/>
              </w:rPr>
            </w:pPr>
            <w:r>
              <w:t>Instituce vykazují další objemy rizikových expozic, které jsou nutné ke splnění přísnějších obezřetnostních požadavků stanovených příslušnými orgány poté, co byly konzultovány s orgánem EBA podle čl. 124 odst. 8 až 13 nařízení (EU) č. 575/2013, a které souvisí s limity způsobilé tržní hodnoty kolaterálu podle čl. 125 odst. 2 písm. d) a čl. 126 odst. 2 písm. d) uvedeného nařízení.</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Přístupy založené na interním ratingu, pokud se nepoužívají vlastní odhady LGD ani konverzní faktory</w:t>
            </w:r>
          </w:p>
          <w:p w14:paraId="7292063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Šablona CR IRB na úrovni celkových expozic (pokud se nepoužívají vlastní odhady LGD nebo úvěrové konverzní faktory).</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Ústřední vlády a centrální banky</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1.1.2.1.01a</w:t>
            </w:r>
            <w:r>
              <w:tab/>
            </w:r>
            <w:r>
              <w:rPr>
                <w:rStyle w:val="InstructionsTabelleberschrift"/>
                <w:rFonts w:ascii="Times New Roman" w:hAnsi="Times New Roman"/>
                <w:sz w:val="24"/>
              </w:rPr>
              <w:t>Regionální vlády nebo místní orgány</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1.1.2.1.01b</w:t>
            </w:r>
            <w:r>
              <w:tab/>
            </w:r>
            <w:r>
              <w:rPr>
                <w:rStyle w:val="InstructionsTabelleberschrift"/>
                <w:rFonts w:ascii="Times New Roman" w:hAnsi="Times New Roman"/>
                <w:sz w:val="24"/>
              </w:rPr>
              <w:t>Subjekty veřejného sektoru</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Instituce</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Podniky – specializované úvěry</w:t>
            </w:r>
          </w:p>
          <w:p w14:paraId="4FCB662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Viz šablona CR IRB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1.1.2.1.04a</w:t>
            </w:r>
            <w:r>
              <w:tab/>
            </w:r>
            <w:r>
              <w:rPr>
                <w:rStyle w:val="InstructionsTabelleberschrift"/>
                <w:rFonts w:ascii="Times New Roman" w:hAnsi="Times New Roman"/>
                <w:sz w:val="24"/>
              </w:rPr>
              <w:t>Podniky – pohledávky nabyté za úplatu</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Podniky – ostatní</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Doplňková položka: Podniky – velké podniky</w:t>
            </w:r>
          </w:p>
          <w:p w14:paraId="2C3CE8A6" w14:textId="6AFC835D"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IRB</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Doplňková položka: Podniky – malé a střední</w:t>
            </w:r>
          </w:p>
          <w:p w14:paraId="46BB2F9C" w14:textId="571336D0" w:rsidR="007F42A0" w:rsidRPr="002A677E" w:rsidRDefault="007F42A0"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IRB</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Přístupy IRB, při nichž se používají vlastní odhady LGD a/nebo konverzní faktory</w:t>
            </w:r>
          </w:p>
          <w:p w14:paraId="065EEC5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Šablona CR IRB na úrovni celkových expozic (pokud se používají vlastní odhady LGD a/nebo úvěrové konverzní faktory).</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Ústřední vlády a centrální banky</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1.1.2.2.01a</w:t>
            </w:r>
            <w:r>
              <w:tab/>
            </w:r>
            <w:r>
              <w:rPr>
                <w:rStyle w:val="InstructionsTabelleberschrift"/>
                <w:rFonts w:ascii="Times New Roman" w:hAnsi="Times New Roman"/>
                <w:sz w:val="24"/>
              </w:rPr>
              <w:t>Regionální vlády nebo místní orgány</w:t>
            </w:r>
          </w:p>
          <w:p w14:paraId="6BB6F901"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1.1.2.2.01b</w:t>
            </w:r>
            <w:r>
              <w:tab/>
            </w:r>
            <w:r>
              <w:rPr>
                <w:rStyle w:val="InstructionsTabelleberschrift"/>
                <w:rFonts w:ascii="Times New Roman" w:hAnsi="Times New Roman"/>
                <w:sz w:val="24"/>
              </w:rPr>
              <w:t>Subjekty veřejného sektoru</w:t>
            </w:r>
          </w:p>
          <w:p w14:paraId="522672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Podniky – specializované úvěry</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1.1.2.2.04a</w:t>
            </w:r>
            <w:r>
              <w:tab/>
            </w:r>
            <w:r>
              <w:rPr>
                <w:rStyle w:val="InstructionsTabelleberschrift"/>
                <w:rFonts w:ascii="Times New Roman" w:hAnsi="Times New Roman"/>
                <w:sz w:val="24"/>
              </w:rPr>
              <w:t>Podniky – pohledávky nabyté za úplatu</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Podniky – ostatní</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Doplňková položka: Podniky – velké podniky</w:t>
            </w:r>
          </w:p>
          <w:p w14:paraId="5851B687" w14:textId="21622467"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IRB</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Doplňková položka: Podniky – malé a střední</w:t>
            </w:r>
          </w:p>
          <w:p w14:paraId="54E1479C" w14:textId="0B65AA60" w:rsidR="00756BE3" w:rsidRPr="002A677E" w:rsidRDefault="00756BE3"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IRB</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Retailové expozice – zajištěné obytnými nemovitostmi</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Viz šablona CR IRB</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Retailová oblast – kvalifikované revolvingové expozice</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1.1.2.2.08a</w:t>
            </w:r>
            <w:r>
              <w:tab/>
            </w:r>
            <w:r>
              <w:rPr>
                <w:rStyle w:val="InstructionsTabelleberschrift"/>
                <w:rFonts w:ascii="Times New Roman" w:hAnsi="Times New Roman"/>
                <w:sz w:val="24"/>
              </w:rPr>
              <w:t>Retailová oblast – pohledávky nabyté za úplatu</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Retailové expozice – ostatní</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0405</w:t>
            </w:r>
          </w:p>
        </w:tc>
        <w:tc>
          <w:tcPr>
            <w:tcW w:w="7274" w:type="dxa"/>
          </w:tcPr>
          <w:p w14:paraId="6363C6C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1.1.2.2.09.01 </w:t>
            </w:r>
            <w:r>
              <w:tab/>
            </w:r>
            <w:r>
              <w:rPr>
                <w:rStyle w:val="InstructionsTabelleberschrift"/>
                <w:rFonts w:ascii="Times New Roman" w:hAnsi="Times New Roman"/>
                <w:sz w:val="24"/>
              </w:rPr>
              <w:t xml:space="preserve">   Z toho: zajištěné obytnými nemovitostmi</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0411</w:t>
            </w:r>
          </w:p>
        </w:tc>
        <w:tc>
          <w:tcPr>
            <w:tcW w:w="7274" w:type="dxa"/>
          </w:tcPr>
          <w:p w14:paraId="33161137" w14:textId="5F59FB26"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1.1.2.2.11* Doplňková položka: Retailová oblast – malé a střední podniky se zajištěním nemovitostmi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Doplňková položka: Retailová oblast – ostatní podniky (jiné než malé a střední) se zajištěním nemovitostmi</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Doplňková položka: Retailová oblast – ostatní malé a střední podniky</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Doplňková položka: Retailová oblast – ostatní podniky jiné než malé a střední</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Vlastní kapitál podle IRB</w:t>
            </w:r>
          </w:p>
          <w:p w14:paraId="58BB051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EQU IRB.</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Subjekty kolektivního investování (CIU)</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Ostatní aktiva nemající povahu úvěrového závazku</w:t>
            </w:r>
          </w:p>
          <w:p w14:paraId="0D47162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je objemem rizikově vážených expozic, který se vypočítává v souladu s článkem 156 </w:t>
            </w:r>
            <w:r>
              <w:rPr>
                <w:rFonts w:ascii="Times New Roman" w:hAnsi="Times New Roman"/>
                <w:sz w:val="24"/>
              </w:rPr>
              <w:t>nařízení (EU) č. 575/2013</w:t>
            </w:r>
            <w:r>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Z toho aktiva v podobě softwaru zaúčtovaná jako nehmotná aktiva</w:t>
            </w:r>
          </w:p>
          <w:p w14:paraId="725F0A1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Objem rizikově vážených expozic týkající se části aktiv v podobě softwaru zaúčtovaných jako nehmotná aktiva, který není odečten od položek kmenového kapitálu tier 1 podle čl. 36 odst. 1 písm. b) </w:t>
            </w:r>
            <w:r>
              <w:t>nařízení (EU) č. 575/2013</w:t>
            </w:r>
            <w:r>
              <w:rPr>
                <w:rStyle w:val="FormatvorlageInstructionsTabelleText"/>
                <w:rFonts w:ascii="Times New Roman" w:hAnsi="Times New Roman"/>
                <w:sz w:val="24"/>
              </w:rPr>
              <w:t xml:space="preserve">, nýbrž se mu přidělí riziková váha v souladu s článkem 156 </w:t>
            </w:r>
            <w:r>
              <w:t>uvedeného nařízení</w:t>
            </w:r>
            <w:r>
              <w:rPr>
                <w:rStyle w:val="FormatvorlageInstructionsTabelleText"/>
                <w:rFonts w:ascii="Times New Roman" w:hAnsi="Times New Roman"/>
                <w:sz w:val="24"/>
              </w:rPr>
              <w:t>.</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Objem rizikových expozic u příspěvků do fondu pro riziko selhání ústřední protistrany</w:t>
            </w:r>
          </w:p>
          <w:p w14:paraId="192C58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Články 307, 308 a 309 nařízení (EU) č. 575/2013</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Sekuritizované pozice</w:t>
            </w:r>
          </w:p>
          <w:p w14:paraId="3F47B3F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SEC</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CELKOVÝ OBJEM RIZIKOVÉ EXPOZICE TÝKAJÍCÍ SE VYPOŘÁDÁNÍ/DODÁNÍ</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Ustanovení čl. 92 odst. 3 a čl. 92 odst. 4 písm. ca) nařízení (EU) č. 575/2013</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Riziko vypořádání/dodání v investičním portfoliu</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SETT</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Riziko vypořádání/dodání v obchodním portfoliu</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CR SETT</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CELKOVÝ OBJEM RIZIKOVÉ EXPOZICE U POLOŽEK VYSTAVENÝCH TRŽNÍMU RIZIKU</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Ustanovení čl. 92 odst. 4 písm. b) bodu i) a písm. c), odst. 5 písm. b), odst. 7 písm. b)</w:t>
            </w:r>
            <w:r>
              <w:t xml:space="preserve"> nařízení (EU) č. 575/2013</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Objem rizikové expozice u položek vystavených tržnímu riziku vypočtený subjekty výhradně s využitím zjednodušeného standardizovaného přístupu (SSA)</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Obchodované dluhové nástroje (TDI)</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Šablona MKR SA TDI na úrovni celého souboru měn.</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Vlastní kapitál</w:t>
            </w:r>
          </w:p>
          <w:p w14:paraId="3A1F4C4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Šablona MKR SA EQU na úrovni všech vnitrostátních trhů.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Zvláštní přístup k pozičnímu riziku u subjektů kolektivního investování</w:t>
            </w:r>
          </w:p>
          <w:p w14:paraId="411CF92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Ustanovení čl. 348 odst. 1, čl. 350 odst. 3 písm. c) a čl. 364 odst. 2 písm. a) nařízení (EU) č. 575/2013</w:t>
            </w:r>
          </w:p>
          <w:p w14:paraId="0F8EF050"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Celkový objem rizikové expozice u pozic v subjektech kolektivního investování, pokud se kapitálové požadavky vypočtou podle čl. 348 odst. 1 </w:t>
            </w:r>
            <w:r>
              <w:rPr>
                <w:rFonts w:ascii="Times New Roman" w:hAnsi="Times New Roman"/>
                <w:sz w:val="24"/>
              </w:rPr>
              <w:t>nařízení (EU) č. 575/2013</w:t>
            </w:r>
            <w:r>
              <w:t xml:space="preserve"> </w:t>
            </w:r>
            <w:r>
              <w:rPr>
                <w:rStyle w:val="FormatvorlageInstructionsTabelleText"/>
                <w:rFonts w:ascii="Times New Roman" w:hAnsi="Times New Roman"/>
                <w:sz w:val="24"/>
              </w:rPr>
              <w:t>buďto ihned, nebo v důsledku stropu stanoveného v čl. 350 odst. 3 písm. c) uvedeného nařízení.</w:t>
            </w:r>
            <w:r>
              <w:rPr>
                <w:rFonts w:ascii="Times New Roman" w:hAnsi="Times New Roman"/>
                <w:sz w:val="24"/>
              </w:rPr>
              <w:t xml:space="preserve"> V nařízení (EU) č. 575/2013 </w:t>
            </w:r>
            <w:r>
              <w:rPr>
                <w:rStyle w:val="FormatvorlageInstructionsTabelleText"/>
                <w:rFonts w:ascii="Times New Roman" w:hAnsi="Times New Roman"/>
                <w:sz w:val="24"/>
              </w:rPr>
              <w:t>není výslovně stanoveno zařazení těchto pozic k úrokovému riziku, nebo akciovému riziku</w:t>
            </w:r>
            <w:r>
              <w:rPr>
                <w:rFonts w:ascii="Times New Roman" w:hAnsi="Times New Roman"/>
                <w:sz w:val="24"/>
              </w:rPr>
              <w:t>.</w:t>
            </w:r>
          </w:p>
          <w:p w14:paraId="79A5F344"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Uplatňuje-li se zvláštní přístup podle první věty čl. 348 odst. 1 </w:t>
            </w:r>
            <w:r>
              <w:rPr>
                <w:rFonts w:ascii="Times New Roman" w:hAnsi="Times New Roman"/>
                <w:sz w:val="24"/>
              </w:rPr>
              <w:t>nařízení (EU) č. 575/2013</w:t>
            </w:r>
            <w:r>
              <w:rPr>
                <w:rStyle w:val="FormatvorlageInstructionsTabelleText"/>
                <w:rFonts w:ascii="Times New Roman" w:hAnsi="Times New Roman"/>
                <w:sz w:val="24"/>
              </w:rPr>
              <w:t xml:space="preserve">, vykazuje se částka ve výši 32 % čisté pozice dotčené expozice subjektů kolektivního investování vynásobené 12,5. </w:t>
            </w:r>
          </w:p>
          <w:p w14:paraId="6E727F78" w14:textId="77777777" w:rsidR="00CC7D2C" w:rsidRPr="002A677E"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 xml:space="preserve">Uplatňuje-li se zvláštní přístup podle druhé věty čl. 348 odst. 1 </w:t>
            </w:r>
            <w:r>
              <w:rPr>
                <w:rFonts w:ascii="Times New Roman" w:hAnsi="Times New Roman"/>
                <w:sz w:val="24"/>
              </w:rPr>
              <w:t>nařízení (EU) č. 575/</w:t>
            </w:r>
            <w:proofErr w:type="gramStart"/>
            <w:r>
              <w:rPr>
                <w:rFonts w:ascii="Times New Roman" w:hAnsi="Times New Roman"/>
                <w:sz w:val="24"/>
              </w:rPr>
              <w:t xml:space="preserve">2013 </w:t>
            </w:r>
            <w:r>
              <w:rPr>
                <w:rStyle w:val="FormatvorlageInstructionsTabelleText"/>
                <w:rFonts w:ascii="Times New Roman" w:hAnsi="Times New Roman"/>
                <w:sz w:val="24"/>
              </w:rPr>
              <w:t>,</w:t>
            </w:r>
            <w:proofErr w:type="gramEnd"/>
            <w:r>
              <w:rPr>
                <w:rStyle w:val="FormatvorlageInstructionsTabelleText"/>
                <w:rFonts w:ascii="Times New Roman" w:hAnsi="Times New Roman"/>
                <w:sz w:val="24"/>
              </w:rPr>
              <w:t xml:space="preserve"> vykazuje se nižší z těchto dvou hodnot: 32 % čisté pozice příslušné expozice subjektů kolektivního investování vynásobené 12,5 a rozdíl mezi 40 % této čisté pozice a kapitálovými požadavky vyplývajícími z měnového rizika, které souvisí s expozicí subjektů kolektivního investování, vynásobený 12,5.</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Doplňková položka: Subjekty kolektivního investování, které investovaly výhradně do obchodovaných dluhových nástrojů</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lastRenderedPageBreak/>
              <w:t>Celkový objem rizikové expozice pro pozice v subjektech kolektivního investování, jestliže subjekt kolektivního investování investoval výhradně do nástrojů podléhajících úrokovému riziku.</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Subjekty kolektivního investování, které investovaly výhradně do nástrojů vlastního kapitálu nebo smíšených nástrojů</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Celkový objem rizikové expozice pro pozice v subjektech kolektivního investování, jestliže subjekt kolektivního investování investoval výhradně do nástrojů podléhajících akciovému riziku nebo do smíšených nástrojů nebo jestliže jsou složky v subjektu kolektivního investování neznámé.</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Cizí měny</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MKR SA FX.</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Komodity</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MKR SA COM.</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Objem rizikové expozice pro poziční, měnové a komoditní riziko podle interních modelů (IM)</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Viz šablona MKR IM.</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Vysvětlující text pro účely konzultace</w:t>
                  </w:r>
                </w:p>
                <w:p w14:paraId="4B9D2A68" w14:textId="77777777" w:rsidR="00CC7D2C" w:rsidRDefault="00CC7D2C" w:rsidP="00822842">
                  <w:pPr>
                    <w:rPr>
                      <w:rStyle w:val="FormatvorlageInstructionsTabelleText"/>
                      <w:rFonts w:ascii="Times New Roman" w:hAnsi="Times New Roman"/>
                      <w:sz w:val="24"/>
                    </w:rPr>
                  </w:pPr>
                  <w:r>
                    <w:t>Tento řádek bude vypuštěn, jakmile již k výpočtu kapitálových požadavků k tržním rizikům nebude možné použít stávající přístup interních modelů.</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1.3.3 Objem rizikové expozice u rozvahových a podrozvahových položek vystavených tržnímu riziku u subjektů, které používají výhradně alternativní standardizovaný přístup (ASA)</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Viz šablona MKR ASA SUM.</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1.3.4 Objem rizikové expozice u rozvahových a podrozvahových položek vystavených tržnímu riziku u subjektů, které používají pouze přístup založený na alternativních interních modelech (AIMA) nebo kombinaci AIMA a ASA</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Viz šablona MKR AIMA SUM.</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 OBJEM RIZIKOVÉ EXPOZICE PRO REKLASIFIKACE MEZI INVESTIČNÍM A OBCHODNÍM PORTFOLIEM</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Viz šablona MOV.</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CELKOVÝ OBJEM RIZIKOVÉ EXPOZICE PRO OPERAČNÍ RIZIKO (</w:t>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Ustanovení čl. 92 odst. 3 a čl. 92 odst. 4 písm. e)</w:t>
            </w:r>
            <w:r>
              <w:t xml:space="preserve"> nařízení (EU) č. 575/2013</w:t>
            </w:r>
          </w:p>
          <w:p w14:paraId="36E7FC8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V případě investičních podniků podle čl. 95 odst. 2, čl. 96 odst. 2 a článku 98 </w:t>
            </w:r>
            <w:r>
              <w:rPr>
                <w:rFonts w:ascii="Times New Roman" w:hAnsi="Times New Roman"/>
                <w:sz w:val="24"/>
              </w:rPr>
              <w:t>nařízení (EU) č. 575/2013</w:t>
            </w:r>
            <w:r>
              <w:rPr>
                <w:rStyle w:val="FormatvorlageInstructionsTabelleText"/>
                <w:rFonts w:ascii="Times New Roman" w:hAnsi="Times New Roman"/>
                <w:sz w:val="24"/>
              </w:rPr>
              <w:t xml:space="preserve"> je tato položka nulová.</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OBJEM DODATEČNÉ RIZIKOVÉ EXPOZICE NA ZÁKLADĚ FIXNÍCH REŽIJNÍCH NÁKLADŮ</w:t>
            </w:r>
          </w:p>
          <w:p w14:paraId="6FBC6E8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95 odst. 2 a čl. 96 odst. 2, článku 97 a čl. 98 odst. 1 písm. a) </w:t>
            </w:r>
            <w:r>
              <w:rPr>
                <w:rFonts w:ascii="Times New Roman" w:hAnsi="Times New Roman"/>
                <w:sz w:val="24"/>
              </w:rPr>
              <w:t>nařízení (EU) č. 575/2013</w:t>
            </w:r>
          </w:p>
          <w:p w14:paraId="2AEA27C3"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Týká se pouze investičních podniků podle čl. 95 odst. 2, čl. 96 odst. 2 a článku 98 </w:t>
            </w:r>
            <w:r>
              <w:rPr>
                <w:rFonts w:ascii="Times New Roman" w:hAnsi="Times New Roman"/>
                <w:sz w:val="24"/>
              </w:rPr>
              <w:t>nařízení (EU) č. 575/2013</w:t>
            </w:r>
            <w:r>
              <w:rPr>
                <w:rStyle w:val="FormatvorlageInstructionsTabelleText"/>
                <w:rFonts w:ascii="Times New Roman" w:hAnsi="Times New Roman"/>
                <w:sz w:val="24"/>
              </w:rPr>
              <w:t xml:space="preserve">. Viz rovněž článek 97 </w:t>
            </w:r>
            <w:r>
              <w:rPr>
                <w:rFonts w:ascii="Times New Roman" w:hAnsi="Times New Roman"/>
                <w:sz w:val="24"/>
              </w:rPr>
              <w:t>nařízení (EU) č. 575/2013</w:t>
            </w:r>
            <w:r>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Investiční podniky podle článku 96 </w:t>
            </w:r>
            <w:r>
              <w:rPr>
                <w:rFonts w:ascii="Times New Roman" w:hAnsi="Times New Roman"/>
                <w:sz w:val="24"/>
              </w:rPr>
              <w:t>nařízení (EU) č. 575/2013</w:t>
            </w:r>
            <w:r>
              <w:rPr>
                <w:rStyle w:val="FormatvorlageInstructionsTabelleText"/>
                <w:rFonts w:ascii="Times New Roman" w:hAnsi="Times New Roman"/>
                <w:sz w:val="24"/>
              </w:rPr>
              <w:t xml:space="preserve"> vykazují hodnotu, na niž odkazuje článek 97, vynásobenou faktorem 12,5.</w:t>
            </w:r>
          </w:p>
          <w:p w14:paraId="5E38767D"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Investiční podniky podle článku 95 </w:t>
            </w:r>
            <w:r>
              <w:rPr>
                <w:rFonts w:ascii="Times New Roman" w:hAnsi="Times New Roman"/>
                <w:sz w:val="24"/>
              </w:rPr>
              <w:t>nařízení (EU) č. 575/2013</w:t>
            </w:r>
            <w:r>
              <w:rPr>
                <w:rStyle w:val="FormatvorlageInstructionsTabelleText"/>
                <w:rFonts w:ascii="Times New Roman" w:hAnsi="Times New Roman"/>
                <w:sz w:val="24"/>
              </w:rPr>
              <w:t xml:space="preserve"> vykazují takto:</w:t>
            </w:r>
          </w:p>
          <w:p w14:paraId="37268ED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Pokud </w:t>
            </w:r>
            <w:r>
              <w:t>částka</w:t>
            </w:r>
            <w:r>
              <w:rPr>
                <w:rStyle w:val="FormatvorlageInstructionsTabelleText"/>
                <w:rFonts w:ascii="Times New Roman" w:hAnsi="Times New Roman"/>
                <w:sz w:val="24"/>
              </w:rPr>
              <w:t xml:space="preserve"> podle čl. 95 odst. 2 písm. a) </w:t>
            </w:r>
            <w:r>
              <w:t xml:space="preserve">nařízení (EU) č. 575/2013 </w:t>
            </w:r>
            <w:r>
              <w:rPr>
                <w:rStyle w:val="FormatvorlageInstructionsTabelleText"/>
                <w:rFonts w:ascii="Times New Roman" w:hAnsi="Times New Roman"/>
                <w:sz w:val="24"/>
              </w:rPr>
              <w:t xml:space="preserve">převyšuje částku podle čl. 95 odst. 2 písm. b) </w:t>
            </w:r>
            <w:r>
              <w:t>uvedeného nařízení</w:t>
            </w:r>
            <w:r>
              <w:rPr>
                <w:rStyle w:val="FormatvorlageInstructionsTabelleText"/>
                <w:rFonts w:ascii="Times New Roman" w:hAnsi="Times New Roman"/>
                <w:sz w:val="24"/>
              </w:rPr>
              <w:t>, vykáže se nulová hodnota.</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Pokud </w:t>
            </w:r>
            <w:r>
              <w:t>částka</w:t>
            </w:r>
            <w:r>
              <w:rPr>
                <w:rStyle w:val="FormatvorlageInstructionsTabelleText"/>
                <w:rFonts w:ascii="Times New Roman" w:hAnsi="Times New Roman"/>
                <w:sz w:val="24"/>
              </w:rPr>
              <w:t xml:space="preserve"> podle čl. 95 odst. 2 písm. b) </w:t>
            </w:r>
            <w:r>
              <w:t xml:space="preserve">nařízení (EU) č. 575/2013 </w:t>
            </w:r>
            <w:r>
              <w:rPr>
                <w:rStyle w:val="FormatvorlageInstructionsTabelleText"/>
                <w:rFonts w:ascii="Times New Roman" w:hAnsi="Times New Roman"/>
                <w:sz w:val="24"/>
              </w:rPr>
              <w:t xml:space="preserve">převyšuje částku podle čl. 95 odst. 2 písm. a) </w:t>
            </w:r>
            <w:r>
              <w:t>uvedeného nařízení</w:t>
            </w:r>
            <w:r>
              <w:rPr>
                <w:rStyle w:val="FormatvorlageInstructionsTabelleText"/>
                <w:rFonts w:ascii="Times New Roman" w:hAnsi="Times New Roman"/>
                <w:sz w:val="24"/>
              </w:rPr>
              <w:t xml:space="preserve">, vykáže se částka, která je výsledkem odečtení této nižší částky od vyšší.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CELKOVÝ OBJEM RIZIKOVÉ EXPOZICE PRO ÚVĚROVOU ÚPRAVU V OCENĚNÍ</w:t>
            </w:r>
          </w:p>
          <w:p w14:paraId="5117D4D3" w14:textId="785E084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92 odst. 4 písm. d) </w:t>
            </w:r>
            <w:r>
              <w:t>nařízení (EU) č. 575/2013</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Viz šablona CVA.</w:t>
            </w:r>
            <w:r>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1.6.4 Standardizovaný přístup (SA)</w:t>
            </w:r>
          </w:p>
          <w:p w14:paraId="52EE3666" w14:textId="77777777" w:rsidR="00CC7D2C" w:rsidRPr="002A677E" w:rsidRDefault="00CC7D2C" w:rsidP="00320EFD">
            <w:pPr>
              <w:pStyle w:val="InstructionsText"/>
              <w:rPr>
                <w:rStyle w:val="InstructionsTabelleberschrift"/>
                <w:rFonts w:ascii="Times New Roman" w:hAnsi="Times New Roman"/>
                <w:sz w:val="24"/>
              </w:rPr>
            </w:pPr>
            <w:r>
              <w:t>Článek 383 nařízení (EU) č. 575/2013</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1.6.5 Úplný základní přístup (F-BA)</w:t>
            </w:r>
          </w:p>
          <w:p w14:paraId="50E188A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Pr>
              <w:t>Ustanovení čl. 384 odst. 3</w:t>
            </w:r>
            <w:r>
              <w:t xml:space="preserve"> nařízení (EU) č. 575/2013</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1.6.6 Snížený základní přístup (R-BA)</w:t>
            </w:r>
          </w:p>
          <w:p w14:paraId="66955A9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Pr>
              <w:t>Ustanovení čl. 384 odst. 2</w:t>
            </w:r>
            <w:r>
              <w:t xml:space="preserve"> nařízení (EU) č. 575/2013</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1.6.7 Zjednodušený přístup (SA)</w:t>
            </w:r>
          </w:p>
          <w:p w14:paraId="5D4966C6" w14:textId="77777777" w:rsidR="00CC7D2C" w:rsidRPr="002A677E" w:rsidRDefault="00CC7D2C" w:rsidP="00320EFD">
            <w:pPr>
              <w:pStyle w:val="InstructionsText"/>
              <w:rPr>
                <w:rStyle w:val="InstructionsTabelleberschrift"/>
                <w:rFonts w:ascii="Times New Roman" w:hAnsi="Times New Roman"/>
                <w:sz w:val="24"/>
              </w:rPr>
            </w:pPr>
            <w:r>
              <w:t>Článek 385 nařízení (EU) č. 575/2013</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rFonts w:ascii="Times New Roman" w:hAnsi="Times New Roman"/>
                <w:sz w:val="24"/>
              </w:rPr>
              <w:t>1.6.8 Zjednodušené zacházení s derivátovými pozicemi v subjektech kolektivního investování</w:t>
            </w:r>
          </w:p>
          <w:p w14:paraId="745B756E" w14:textId="77777777" w:rsidR="00CC7D2C" w:rsidRPr="002A677E" w:rsidRDefault="00CC7D2C" w:rsidP="00320EFD">
            <w:pPr>
              <w:pStyle w:val="InstructionsText"/>
              <w:rPr>
                <w:rStyle w:val="InstructionsTabelleberschrift"/>
                <w:rFonts w:ascii="Times New Roman" w:hAnsi="Times New Roman"/>
                <w:sz w:val="24"/>
              </w:rPr>
            </w:pPr>
            <w:r>
              <w:t>Ustanovení článků 132a odst. 3, 152 odst. 3 a 325j odst. 1 nařízení (EU) č. 575/2013</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CELKOVÝ OBJEM RIZIKOVÉ EXPOZICE SOUVISEJÍCÍ S VELKÝMI EXPOZICEMI V OBCHODNÍM PORTFOLIU</w:t>
            </w:r>
          </w:p>
          <w:p w14:paraId="17AF6A9C" w14:textId="4455FFB8"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Ustanovení čl. 92 odst. 4 písm. b) bodu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a článků 395 až 401 </w:t>
            </w:r>
            <w:r>
              <w:t>nařízení (EU) č. 575/2013</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OSTATNÍ OBJEMY RIZIKOVÉ EXPOZICE</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Články 3, 458 a 459 </w:t>
            </w:r>
            <w:r>
              <w:t>nařízení (EU) č. 575/2013</w:t>
            </w:r>
            <w:r>
              <w:rPr>
                <w:rStyle w:val="InstructionsTabelleberschrift"/>
                <w:rFonts w:ascii="Times New Roman" w:hAnsi="Times New Roman"/>
                <w:b w:val="0"/>
                <w:sz w:val="24"/>
                <w:u w:val="none"/>
              </w:rPr>
              <w:t xml:space="preserve"> a objemy rizikové expozice, které nelze zařadit do jedné z položek 1.1 až 1.7.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Instituce vykazují částky, které musí splňovat následující podmínky:</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Přísnější obezřetnostní požadavky, které ukládá Komise, a to v souladu s články 458 a 459 </w:t>
            </w:r>
            <w:r>
              <w:t>nařízení (EU) č. 575/2013</w:t>
            </w:r>
            <w:r>
              <w:rPr>
                <w:rStyle w:val="InstructionsTabelleberschrift"/>
                <w:rFonts w:ascii="Times New Roman" w:hAnsi="Times New Roman"/>
                <w:b w:val="0"/>
                <w:sz w:val="24"/>
                <w:u w:val="none"/>
              </w:rPr>
              <w:t xml:space="preserve">.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Objemy dodatečné rizikové expozice na základě článku 3</w:t>
            </w:r>
            <w:r>
              <w:t xml:space="preserve"> nařízení (EU) č. 575/2013</w:t>
            </w:r>
            <w:r>
              <w:rPr>
                <w:rStyle w:val="InstructionsTabelleberschrift"/>
                <w:rFonts w:ascii="Times New Roman" w:hAnsi="Times New Roman"/>
                <w:b w:val="0"/>
                <w:sz w:val="24"/>
                <w:u w:val="none"/>
              </w:rPr>
              <w:t>.</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Tato položka není vázána na podrobnou šablonu.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Z toho: dodatečné přísnější obezřetnostní požadavky podle článku 458 nařízení (EU) č. 575/2013</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Článek 458 </w:t>
            </w:r>
            <w:r>
              <w:t>nařízení (EU) č. 575/2013</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Z toho: požadavky pro velké expozice</w:t>
            </w:r>
          </w:p>
          <w:p w14:paraId="242C94AC" w14:textId="77777777" w:rsidR="00CC7D2C" w:rsidRPr="002A677E" w:rsidRDefault="00CC7D2C" w:rsidP="00320EFD">
            <w:pPr>
              <w:pStyle w:val="InstructionsText"/>
              <w:rPr>
                <w:rStyle w:val="InstructionsTabelleberschrift"/>
                <w:rFonts w:ascii="Times New Roman" w:hAnsi="Times New Roman"/>
                <w:sz w:val="24"/>
              </w:rPr>
            </w:pPr>
            <w:r>
              <w:t>Článek 458 nařízení (EU) č. 575/2013</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320EFD">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Z toho: v důsledku upravených rizikových vah pro ošetření bublin v odvětví obytných a obchodních nemovitostí</w:t>
            </w:r>
          </w:p>
          <w:p w14:paraId="6AE45898" w14:textId="77777777" w:rsidR="00CC7D2C" w:rsidRPr="002A677E" w:rsidRDefault="00CC7D2C" w:rsidP="00320EFD">
            <w:pPr>
              <w:pStyle w:val="InstructionsText"/>
              <w:rPr>
                <w:rStyle w:val="InstructionsTabelleberschrift"/>
                <w:rFonts w:ascii="Times New Roman" w:hAnsi="Times New Roman"/>
                <w:sz w:val="24"/>
              </w:rPr>
            </w:pPr>
            <w:r>
              <w:t>Článek 458 nařízení (EU) č. 575/2013</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Z toho: v důsledku expozic uvnitř finančního sektoru</w:t>
            </w:r>
          </w:p>
          <w:p w14:paraId="0AD2BF6F" w14:textId="77777777" w:rsidR="00CC7D2C" w:rsidRPr="002A677E" w:rsidRDefault="00CC7D2C" w:rsidP="00320EFD">
            <w:pPr>
              <w:pStyle w:val="InstructionsText"/>
              <w:rPr>
                <w:rStyle w:val="InstructionsTabelleberschrift"/>
                <w:rFonts w:ascii="Times New Roman" w:hAnsi="Times New Roman"/>
                <w:sz w:val="24"/>
              </w:rPr>
            </w:pPr>
            <w:r>
              <w:t>Článek 458 nařízení (EU) č. 575/2013</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Z toho: dodatečné přísnější obezřetnostní požadavky podle článku 459 nařízení (EU) č. 575/2013</w:t>
            </w:r>
          </w:p>
          <w:p w14:paraId="4F93B1E4"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Článek 459 </w:t>
            </w:r>
            <w:r>
              <w:t>nařízení (EU) č.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77777777" w:rsidR="005F24EB" w:rsidRPr="003D5537" w:rsidRDefault="005F24EB" w:rsidP="00320EFD">
            <w:pPr>
              <w:pStyle w:val="InstructionsText"/>
            </w:pPr>
            <w:r>
              <w:t>1.8.3a       z toho: dodatečný RWEA pro tržní riziko uložený orgánem dohledu na základě článku 110 směrnice 2013/36/EU</w:t>
            </w:r>
          </w:p>
          <w:p w14:paraId="6AA689E0" w14:textId="70B9ABFD" w:rsidR="005F24EB" w:rsidRPr="003D5537" w:rsidRDefault="003D5537" w:rsidP="00320EFD">
            <w:pPr>
              <w:pStyle w:val="InstructionsText"/>
              <w:rPr>
                <w:b/>
                <w:bCs/>
              </w:rPr>
            </w:pPr>
            <w:r>
              <w:t>Článek 101 směrnice 2013/36/EU a vnitrostátní prováděcí opatření k uvedenému článku.</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Z toho: objem dodatečné rizikové expozice na základě článku 3 nařízení (EU) č. 575/2013</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Článek 3 </w:t>
            </w:r>
            <w:r>
              <w:t>nařízení (EU) č. 575/2013</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Vykáže se objem dodatečné rizikové expozice. </w:t>
            </w:r>
            <w:proofErr w:type="gramStart"/>
            <w:r>
              <w:rPr>
                <w:rStyle w:val="InstructionsTabelleberschrift"/>
                <w:rFonts w:ascii="Times New Roman" w:hAnsi="Times New Roman"/>
                <w:b w:val="0"/>
                <w:sz w:val="24"/>
                <w:u w:val="none"/>
              </w:rPr>
              <w:t>Patří</w:t>
            </w:r>
            <w:proofErr w:type="gramEnd"/>
            <w:r>
              <w:rPr>
                <w:rStyle w:val="InstructionsTabelleberschrift"/>
                <w:rFonts w:ascii="Times New Roman" w:hAnsi="Times New Roman"/>
                <w:b w:val="0"/>
                <w:sz w:val="24"/>
                <w:u w:val="none"/>
              </w:rPr>
              <w:t xml:space="preserve"> sem pouze dodatečné objemy (např. váže-li se na expozici s hodnotou 100 riziková váha ve výši 20</w:t>
            </w:r>
            <w:r>
              <w:t> </w:t>
            </w:r>
            <w:r>
              <w:rPr>
                <w:rStyle w:val="InstructionsTabelleberschrift"/>
                <w:rFonts w:ascii="Times New Roman" w:hAnsi="Times New Roman"/>
                <w:b w:val="0"/>
                <w:sz w:val="24"/>
                <w:u w:val="none"/>
              </w:rPr>
              <w:t>% a instituce uplatňuje na</w:t>
            </w:r>
            <w:r>
              <w:t xml:space="preserve"> </w:t>
            </w:r>
            <w:r>
              <w:rPr>
                <w:rStyle w:val="InstructionsTabelleberschrift"/>
                <w:rFonts w:ascii="Times New Roman" w:hAnsi="Times New Roman"/>
                <w:b w:val="0"/>
                <w:sz w:val="24"/>
                <w:u w:val="none"/>
              </w:rPr>
              <w:t xml:space="preserve">základě článku 3 </w:t>
            </w:r>
            <w:r>
              <w:t>nařízení (EU) č. 575/2013</w:t>
            </w:r>
            <w:r>
              <w:rPr>
                <w:rStyle w:val="InstructionsTabelleberschrift"/>
                <w:rFonts w:ascii="Times New Roman" w:hAnsi="Times New Roman"/>
                <w:b w:val="0"/>
                <w:sz w:val="24"/>
                <w:u w:val="none"/>
              </w:rPr>
              <w:t xml:space="preserve"> rizikovou váhu 50 %, vykáže se hodnota 30).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Pr>
              <w:t xml:space="preserve">.8.4*         </w:t>
            </w:r>
            <w:r>
              <w:rPr>
                <w:rStyle w:val="InstructionsTabelleberschrift"/>
                <w:rFonts w:ascii="Times New Roman" w:hAnsi="Times New Roman"/>
                <w:sz w:val="24"/>
              </w:rPr>
              <w:t xml:space="preserve">z </w:t>
            </w:r>
            <w:proofErr w:type="gramStart"/>
            <w:r>
              <w:rPr>
                <w:rStyle w:val="InstructionsTabelleberschrift"/>
                <w:rFonts w:ascii="Times New Roman" w:hAnsi="Times New Roman"/>
                <w:sz w:val="24"/>
              </w:rPr>
              <w:t>toho:  dodatečný</w:t>
            </w:r>
            <w:proofErr w:type="gramEnd"/>
            <w:r>
              <w:rPr>
                <w:rStyle w:val="InstructionsTabelleberschrift"/>
                <w:rFonts w:ascii="Times New Roman" w:hAnsi="Times New Roman"/>
                <w:sz w:val="24"/>
              </w:rPr>
              <w:t xml:space="preserve"> RWEA pro tržní riziko</w:t>
            </w:r>
          </w:p>
          <w:p w14:paraId="69E7A691" w14:textId="31285B3F" w:rsidR="003D5537" w:rsidRPr="002A677E" w:rsidRDefault="003D5537" w:rsidP="00320EFD">
            <w:pPr>
              <w:pStyle w:val="InstructionsText"/>
              <w:rPr>
                <w:rStyle w:val="InstructionsTabelleberschrift"/>
                <w:rFonts w:ascii="Times New Roman" w:hAnsi="Times New Roman"/>
                <w:sz w:val="24"/>
              </w:rPr>
            </w:pPr>
            <w:r>
              <w:t>Mimo jiné včetně případu „rizika nezahrnutého do principu modelu“.</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0780</w:t>
            </w:r>
          </w:p>
        </w:tc>
        <w:tc>
          <w:tcPr>
            <w:tcW w:w="7274" w:type="dxa"/>
          </w:tcPr>
          <w:p w14:paraId="29D87F27"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1.8.5     z toho: přechodný objem rizikové expozice v souvislosti s kryptoaktivy na základě čl. 501d odst. 2 nařízení (EU) č. 575/2013</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Viz šablona CRYPTO.</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t>1.4</w:t>
      </w:r>
      <w:r>
        <w:tab/>
        <w:t>C 03.00 – KAPITÁLOVÉ POMĚRY A ÚROVNĚ KAPITÁLU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1.4.1.</w:t>
      </w:r>
      <w:r>
        <w:tab/>
        <w:t>Pokyny pro konkrétní</w:t>
      </w:r>
      <w:bookmarkEnd w:id="32"/>
      <w:bookmarkEnd w:id="33"/>
      <w:r>
        <w:t xml:space="preserve"> pozice</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Řádky</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0010</w:t>
            </w:r>
          </w:p>
        </w:tc>
        <w:tc>
          <w:tcPr>
            <w:tcW w:w="7620" w:type="dxa"/>
          </w:tcPr>
          <w:p w14:paraId="104AA172"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Poměr kmenového kapitálu tier 1</w:t>
            </w:r>
          </w:p>
          <w:p w14:paraId="1A204CA3" w14:textId="77777777" w:rsidR="00CC7D2C" w:rsidRPr="002A677E" w:rsidRDefault="00CC7D2C" w:rsidP="00320EFD">
            <w:pPr>
              <w:pStyle w:val="InstructionsText"/>
            </w:pPr>
            <w:r>
              <w:t>Ustanovení čl. 92 odst. 2 písm. a) nařízení (EU) č. 575/2013</w:t>
            </w:r>
          </w:p>
          <w:p w14:paraId="6428C1DC" w14:textId="77777777" w:rsidR="00CC7D2C" w:rsidRPr="002A677E" w:rsidRDefault="00CC7D2C" w:rsidP="00320EFD">
            <w:pPr>
              <w:pStyle w:val="InstructionsText"/>
            </w:pPr>
            <w:r>
              <w:t>Poměr kmenového kapitálu tier 1 je kmenový kapitál tier 1 instituce vyjádřený jako procentní podíl celkového objemu rizikové expozice.</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Přebytek (</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nedostatek (−) kmenového kapitálu tier 1</w:t>
            </w:r>
          </w:p>
          <w:p w14:paraId="197B9EAB" w14:textId="77777777" w:rsidR="00CC7D2C" w:rsidRPr="002A677E" w:rsidRDefault="00CC7D2C" w:rsidP="00320EFD">
            <w:pPr>
              <w:pStyle w:val="InstructionsText"/>
            </w:pPr>
            <w:r>
              <w:t>V této položce se v absolutní hodnotě uvádí částka přebytku nebo nedostatku kmenového kapitálu tier 1 vztahující se k požadavku, který je stanoven v čl. 92 odst. 1 písm. a) nařízení (EU) č. 575/2013 (4,5 %), což znamená, že v kapitálovém poměru nejsou zohledněny kapitálové rezervy a přechodná ustanovení.</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t>0030</w:t>
            </w:r>
          </w:p>
        </w:tc>
        <w:tc>
          <w:tcPr>
            <w:tcW w:w="7620" w:type="dxa"/>
          </w:tcPr>
          <w:p w14:paraId="4EACDF0D" w14:textId="77777777" w:rsidR="00CC7D2C" w:rsidRPr="002A677E" w:rsidRDefault="00CC7D2C" w:rsidP="00320EFD">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Kapitálový poměr tier 1</w:t>
            </w:r>
          </w:p>
          <w:p w14:paraId="58F5E60A" w14:textId="77777777" w:rsidR="00CC7D2C" w:rsidRPr="002A677E" w:rsidRDefault="00CC7D2C" w:rsidP="00320EFD">
            <w:pPr>
              <w:pStyle w:val="InstructionsText"/>
            </w:pPr>
            <w:r>
              <w:t>Ustanovení čl. 92 odst. 2 písm. b) nařízení (EU) č. 575/2013</w:t>
            </w:r>
          </w:p>
          <w:p w14:paraId="6C86F22F" w14:textId="77777777" w:rsidR="00CC7D2C" w:rsidRPr="002A677E" w:rsidRDefault="00CC7D2C" w:rsidP="00320EFD">
            <w:pPr>
              <w:pStyle w:val="InstructionsText"/>
            </w:pPr>
            <w:r>
              <w:t>Kapitálový poměr tier 1 je kapitál tier 1 instituce vyjádřený jako procentní podíl celkového objemu rizikové expozice.</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0040</w:t>
            </w:r>
          </w:p>
        </w:tc>
        <w:tc>
          <w:tcPr>
            <w:tcW w:w="7620" w:type="dxa"/>
          </w:tcPr>
          <w:p w14:paraId="2604F5D5" w14:textId="77777777" w:rsidR="00CC7D2C" w:rsidRPr="002A677E" w:rsidRDefault="00CC7D2C" w:rsidP="00320EFD">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Přebytek (</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nedostatek (−) kapitálu tier 1</w:t>
            </w:r>
          </w:p>
          <w:p w14:paraId="2757AF24" w14:textId="77777777" w:rsidR="00CC7D2C" w:rsidRPr="002A677E" w:rsidRDefault="00CC7D2C" w:rsidP="00320EFD">
            <w:pPr>
              <w:pStyle w:val="InstructionsText"/>
            </w:pPr>
            <w:r>
              <w:t>V této položce se v absolutní hodnotě uvádí částka přebytku nebo nedostatku kapitálu tier 1 vztahující se k požadavku, který je stanoven v čl. 92 odst. 1 písm. b) nařízení (EU) č. 575/2013 (6 %), což znamená, že v kapitálovém poměru nejsou zohledněny kapitálové rezervy a přechodná ustanovení.</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t>0050</w:t>
            </w:r>
          </w:p>
        </w:tc>
        <w:tc>
          <w:tcPr>
            <w:tcW w:w="7620" w:type="dxa"/>
          </w:tcPr>
          <w:p w14:paraId="36175C3E" w14:textId="77777777" w:rsidR="00CC7D2C" w:rsidRPr="002A677E" w:rsidRDefault="00CC7D2C" w:rsidP="00320EFD">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Celkový kapitálový poměr</w:t>
            </w:r>
          </w:p>
          <w:p w14:paraId="393A8CC4" w14:textId="77777777" w:rsidR="00CC7D2C" w:rsidRPr="002A677E" w:rsidRDefault="00CC7D2C" w:rsidP="00320EFD">
            <w:pPr>
              <w:pStyle w:val="InstructionsText"/>
            </w:pPr>
            <w:r>
              <w:t>Ustanovení čl. 92 odst. 2 písm. c) nařízení (EU) č. 575/2013</w:t>
            </w:r>
          </w:p>
          <w:p w14:paraId="163717AB" w14:textId="77777777" w:rsidR="00CC7D2C" w:rsidRPr="002A677E" w:rsidRDefault="00CC7D2C" w:rsidP="00320EFD">
            <w:pPr>
              <w:pStyle w:val="InstructionsText"/>
            </w:pPr>
            <w:r>
              <w:t>Celkový kapitálový poměr je kapitál instituce vyjádřený jako procentní podíl celkového objemu rizikové expozice.</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0060</w:t>
            </w:r>
          </w:p>
        </w:tc>
        <w:tc>
          <w:tcPr>
            <w:tcW w:w="7620" w:type="dxa"/>
          </w:tcPr>
          <w:p w14:paraId="1D3133EA" w14:textId="77777777" w:rsidR="00CC7D2C" w:rsidRPr="002A677E" w:rsidRDefault="00CC7D2C" w:rsidP="00320EFD">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Přebytek (</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nedostatek (−) celkového kapitálu</w:t>
            </w:r>
          </w:p>
          <w:p w14:paraId="03A15BAC" w14:textId="77777777" w:rsidR="00CC7D2C" w:rsidRPr="002A677E" w:rsidRDefault="00CC7D2C" w:rsidP="00320EFD">
            <w:pPr>
              <w:pStyle w:val="InstructionsText"/>
            </w:pPr>
            <w:r>
              <w:t>V této položce se v absolutní hodnotě uvádí částka přebytku nebo nedostatku kapitálu vztahující se k požadavku, který je stanoven v čl. 92 odst. 1 písm. c) nařízení (EU) č. 575/2013 (8 %), což znamená, že v kapitálovém poměru nejsou zohledněny kapitálové rezervy a přechodná ustanovení.</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0070</w:t>
            </w:r>
          </w:p>
        </w:tc>
        <w:tc>
          <w:tcPr>
            <w:tcW w:w="7620" w:type="dxa"/>
          </w:tcPr>
          <w:p w14:paraId="3AE440D2"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7         Poměr kmenového kapitálu tier 1 s ohledem na celkový objem rizikové expozice nepodléhající minimálnímu prahu</w:t>
            </w:r>
          </w:p>
          <w:p w14:paraId="61978AA2" w14:textId="77777777" w:rsidR="00CC7D2C" w:rsidRPr="002A677E" w:rsidRDefault="00CC7D2C" w:rsidP="00320EFD">
            <w:pPr>
              <w:pStyle w:val="InstructionsText"/>
              <w:rPr>
                <w:rStyle w:val="InstructionsTabelleberschrift"/>
                <w:rFonts w:ascii="Times New Roman" w:hAnsi="Times New Roman"/>
                <w:sz w:val="24"/>
              </w:rPr>
            </w:pPr>
            <w:r>
              <w:lastRenderedPageBreak/>
              <w:t>Poměr kmenového kapitálu tier 1 podle čl. 92 odst. 2 písm. a) nařízení (EU) č. 575/2013, vyjádřený jako procento celkového objemu rizikové expozice vypočtené podle čl. 92 odst. 4 nařízení (EU) č. 575/2013.</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lastRenderedPageBreak/>
              <w:t>0080</w:t>
            </w:r>
          </w:p>
        </w:tc>
        <w:tc>
          <w:tcPr>
            <w:tcW w:w="7620" w:type="dxa"/>
          </w:tcPr>
          <w:p w14:paraId="5BB089F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8          Kapitálový poměr tier 1 s ohledem na celkový objem rizikové expozice nepodléhající minimálnímu prahu</w:t>
            </w:r>
          </w:p>
          <w:p w14:paraId="1EA9C1BE" w14:textId="1AA1CC61" w:rsidR="00CC7D2C" w:rsidRPr="002A677E" w:rsidRDefault="00CC7D2C" w:rsidP="00320EFD">
            <w:pPr>
              <w:pStyle w:val="InstructionsText"/>
              <w:rPr>
                <w:rStyle w:val="InstructionsTabelleberschrift"/>
                <w:rFonts w:ascii="Times New Roman" w:hAnsi="Times New Roman"/>
                <w:sz w:val="24"/>
              </w:rPr>
            </w:pPr>
            <w:r>
              <w:t>Kapitálový poměr tier 1 ve smyslu čl. 92 odst. 2 písm. b) nařízení (EU) č. 575/2013, vyjádřený jako procentní podíl celkového objemu rizikové expozice vypočteného podle čl. 92 odst. 4 nařízení (EU) č. 575/2013.</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0090</w:t>
            </w:r>
          </w:p>
        </w:tc>
        <w:tc>
          <w:tcPr>
            <w:tcW w:w="7620" w:type="dxa"/>
          </w:tcPr>
          <w:p w14:paraId="28D7CCE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9          Celkový kapitálový poměr s ohledem na celkový objem rizikové expozice nepodléhající minimálnímu prahu</w:t>
            </w:r>
          </w:p>
          <w:p w14:paraId="79DB9F56" w14:textId="77777777" w:rsidR="00CC7D2C" w:rsidRPr="002A677E" w:rsidRDefault="00CC7D2C" w:rsidP="00320EFD">
            <w:pPr>
              <w:pStyle w:val="InstructionsText"/>
              <w:rPr>
                <w:rStyle w:val="InstructionsTabelleberschrift"/>
                <w:rFonts w:ascii="Times New Roman" w:hAnsi="Times New Roman"/>
                <w:sz w:val="24"/>
              </w:rPr>
            </w:pPr>
            <w:r>
              <w:t>Celkový kapitálový poměr podle definice v čl. 92 odst. 2 písm. c) nařízení (EU) č. 575/2013, vyjádřený jako procento celkového objemu rizikové expozice vypočtené podle čl. 92 odst. 4 nařízení (EU) č. 575/2013.</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Poměr celkového kapitálového požadavku procesu přezkumu a hodnocení v rámci dohledu (TSCR)</w:t>
            </w:r>
          </w:p>
          <w:p w14:paraId="422D18B0" w14:textId="77777777" w:rsidR="00CC7D2C" w:rsidRPr="002A677E" w:rsidRDefault="00CC7D2C" w:rsidP="00320EFD">
            <w:pPr>
              <w:pStyle w:val="InstructionsText"/>
            </w:pPr>
            <w:r>
              <w:t xml:space="preserve">Součet i) a </w:t>
            </w:r>
            <w:proofErr w:type="spellStart"/>
            <w:r>
              <w:t>ii</w:t>
            </w:r>
            <w:proofErr w:type="spellEnd"/>
            <w:r>
              <w:t>):</w:t>
            </w:r>
          </w:p>
          <w:p w14:paraId="5718EEA1" w14:textId="77777777" w:rsidR="00CC7D2C" w:rsidRPr="002A677E" w:rsidRDefault="00CC7D2C" w:rsidP="00320EFD">
            <w:pPr>
              <w:pStyle w:val="InstructionsText"/>
            </w:pPr>
            <w:r>
              <w:t xml:space="preserve">celkový kapitálový poměr (8 %), jak je uvedeno v čl. 92 odst. 1 písm. c) nařízení (EU) č. 575/2013; </w:t>
            </w:r>
          </w:p>
          <w:p w14:paraId="72877665" w14:textId="77777777" w:rsidR="00CC7D2C" w:rsidRPr="002A677E" w:rsidRDefault="00CC7D2C" w:rsidP="00320EFD">
            <w:pPr>
              <w:pStyle w:val="InstructionsText"/>
            </w:pPr>
            <w:r>
              <w:t xml:space="preserve">poměr dodatečných kapitálových požadavků (požadavky pilíře 2 – P2R) podle čl. 104 odst. 1 písm. a) směrnice 2013/36/EU. Tento poměr se </w:t>
            </w:r>
            <w:proofErr w:type="gramStart"/>
            <w:r>
              <w:t>určí</w:t>
            </w:r>
            <w:proofErr w:type="gramEnd"/>
            <w:r>
              <w:t xml:space="preserve"> podle kritérií stanovených v pokynech EBA o společných postupech a metodikách pro proces přezkumu a hodnocení a zátěžové testování v rámci dohledu (</w:t>
            </w:r>
            <w:r>
              <w:rPr>
                <w:i/>
              </w:rPr>
              <w:t xml:space="preserve">EBA </w:t>
            </w:r>
            <w:proofErr w:type="spellStart"/>
            <w:r>
              <w:rPr>
                <w:i/>
              </w:rPr>
              <w:t>Guidelines</w:t>
            </w:r>
            <w:proofErr w:type="spellEnd"/>
            <w:r>
              <w:rPr>
                <w:i/>
              </w:rPr>
              <w:t xml:space="preserve"> on </w:t>
            </w:r>
            <w:proofErr w:type="spellStart"/>
            <w:r>
              <w:rPr>
                <w:i/>
              </w:rPr>
              <w:t>common</w:t>
            </w:r>
            <w:proofErr w:type="spellEnd"/>
            <w:r>
              <w:rPr>
                <w:i/>
              </w:rPr>
              <w:t xml:space="preserve"> </w:t>
            </w:r>
            <w:proofErr w:type="spellStart"/>
            <w:r>
              <w:rPr>
                <w:i/>
              </w:rPr>
              <w:t>procedures</w:t>
            </w:r>
            <w:proofErr w:type="spellEnd"/>
            <w:r>
              <w:rPr>
                <w:i/>
              </w:rPr>
              <w:t xml:space="preserve"> and </w:t>
            </w:r>
            <w:proofErr w:type="spellStart"/>
            <w:r>
              <w:rPr>
                <w:i/>
              </w:rPr>
              <w:t>methodologies</w:t>
            </w:r>
            <w:proofErr w:type="spellEnd"/>
            <w:r>
              <w:rPr>
                <w:i/>
              </w:rPr>
              <w:t xml:space="preserve"> </w:t>
            </w:r>
            <w:proofErr w:type="spellStart"/>
            <w:r>
              <w:rPr>
                <w:i/>
              </w:rPr>
              <w:t>for</w:t>
            </w:r>
            <w:proofErr w:type="spellEnd"/>
            <w:r>
              <w:rPr>
                <w:i/>
              </w:rPr>
              <w:t xml:space="preserve"> </w:t>
            </w:r>
            <w:proofErr w:type="spellStart"/>
            <w:r>
              <w:rPr>
                <w:i/>
              </w:rPr>
              <w:t>the</w:t>
            </w:r>
            <w:proofErr w:type="spellEnd"/>
            <w:r>
              <w:rPr>
                <w:i/>
              </w:rPr>
              <w:t xml:space="preserve"> supervisory </w:t>
            </w:r>
            <w:proofErr w:type="spellStart"/>
            <w:r>
              <w:rPr>
                <w:i/>
              </w:rPr>
              <w:t>review</w:t>
            </w:r>
            <w:proofErr w:type="spellEnd"/>
            <w:r>
              <w:rPr>
                <w:i/>
              </w:rPr>
              <w:t xml:space="preserve"> and </w:t>
            </w:r>
            <w:proofErr w:type="spellStart"/>
            <w:r>
              <w:rPr>
                <w:i/>
              </w:rPr>
              <w:t>evaluation</w:t>
            </w:r>
            <w:proofErr w:type="spellEnd"/>
            <w:r>
              <w:rPr>
                <w:i/>
              </w:rPr>
              <w:t xml:space="preserve"> </w:t>
            </w:r>
            <w:proofErr w:type="spellStart"/>
            <w:r>
              <w:rPr>
                <w:i/>
              </w:rPr>
              <w:t>process</w:t>
            </w:r>
            <w:proofErr w:type="spellEnd"/>
            <w:r>
              <w:rPr>
                <w:i/>
              </w:rPr>
              <w:t xml:space="preserve"> and supervisory stress testing</w:t>
            </w:r>
            <w:r>
              <w:t xml:space="preserve"> (EBA SREP GL)).</w:t>
            </w:r>
          </w:p>
          <w:p w14:paraId="51D5EDB6" w14:textId="77777777" w:rsidR="00CC7D2C" w:rsidRPr="002A677E" w:rsidRDefault="00CC7D2C" w:rsidP="00320EFD">
            <w:pPr>
              <w:pStyle w:val="InstructionsText"/>
            </w:pPr>
            <w:r>
              <w:t>Tento bod vyjadřuje poměr celkového kapitálového požadavku procesu přezkumu a hodnocení v rámci dohledu (TSCR), který instituci sdělil příslušný orgán. TSCR je vymezen v oddílech 7.4 a 7.5 EBA SREP GL.</w:t>
            </w:r>
          </w:p>
          <w:p w14:paraId="170D440C" w14:textId="77777777" w:rsidR="00CC7D2C" w:rsidRDefault="00CC7D2C" w:rsidP="00320EFD">
            <w:pPr>
              <w:pStyle w:val="InstructionsText"/>
            </w:pPr>
            <w:r>
              <w:t xml:space="preserve">Jestliže příslušný orgán nesdělil žádné dodatečné kapitálové požadavky, uvádí se pouze bod i). </w:t>
            </w:r>
          </w:p>
          <w:p w14:paraId="72F84D88" w14:textId="77777777" w:rsidR="00CC7D2C" w:rsidRDefault="00CC7D2C" w:rsidP="00320EFD">
            <w:pPr>
              <w:pStyle w:val="InstructionsText"/>
            </w:pPr>
            <w:r>
              <w:t>Je-li instituce vázána minimálním výstupním prahem, představují vykazované údaje TSCR požadované ke splnění požadavků k datu vykazování s ohledem na ustanovení čl. 104a odst. 6 směrnice 2013/36/EU.</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složený z kmenového kapitálu tier 1 </w:t>
            </w:r>
          </w:p>
          <w:p w14:paraId="28F90F3C" w14:textId="77777777" w:rsidR="00CC7D2C" w:rsidRPr="002A677E" w:rsidRDefault="00CC7D2C" w:rsidP="00320EFD">
            <w:pPr>
              <w:pStyle w:val="InstructionsText"/>
            </w:pPr>
            <w:r>
              <w:t xml:space="preserve">Součet i) a </w:t>
            </w:r>
            <w:proofErr w:type="spellStart"/>
            <w:r>
              <w:t>ii</w:t>
            </w:r>
            <w:proofErr w:type="spellEnd"/>
            <w:r>
              <w:t>):</w:t>
            </w:r>
          </w:p>
          <w:p w14:paraId="75CA447D" w14:textId="77777777" w:rsidR="00CC7D2C" w:rsidRPr="002A677E" w:rsidRDefault="00CC7D2C" w:rsidP="00320EFD">
            <w:pPr>
              <w:pStyle w:val="InstructionsText"/>
              <w:numPr>
                <w:ilvl w:val="0"/>
                <w:numId w:val="20"/>
              </w:numPr>
            </w:pPr>
            <w:r>
              <w:t>poměr kmenového kapitálu tier 1 (4,5 %) podle čl. 92 odst. 1 písm. a) nařízení (EU) č. 575/2013;</w:t>
            </w:r>
          </w:p>
          <w:p w14:paraId="6BB26B7D" w14:textId="77777777" w:rsidR="00CC7D2C" w:rsidRPr="002A677E" w:rsidRDefault="00CC7D2C" w:rsidP="00320EFD">
            <w:pPr>
              <w:pStyle w:val="InstructionsText"/>
              <w:numPr>
                <w:ilvl w:val="0"/>
                <w:numId w:val="20"/>
              </w:numPr>
              <w:rPr>
                <w:b/>
                <w:bCs/>
                <w:u w:val="single"/>
              </w:rPr>
            </w:pPr>
            <w:r>
              <w:t xml:space="preserve">část poměru P2R podle bodu </w:t>
            </w:r>
            <w:proofErr w:type="spellStart"/>
            <w:r>
              <w:t>ii</w:t>
            </w:r>
            <w:proofErr w:type="spellEnd"/>
            <w:r>
              <w:t>) řádku 0130, která musí být podle požadavku příslušného orgánu držena ve formě kmenového kapitálu tier 1.</w:t>
            </w:r>
          </w:p>
          <w:p w14:paraId="36D292D2" w14:textId="77777777" w:rsidR="00CC7D2C" w:rsidRDefault="00CC7D2C" w:rsidP="00320EFD">
            <w:pPr>
              <w:pStyle w:val="InstructionsText"/>
              <w:rPr>
                <w:rStyle w:val="InstructionsTabelleberschrift"/>
                <w:rFonts w:ascii="Times New Roman" w:hAnsi="Times New Roman"/>
                <w:b w:val="0"/>
                <w:sz w:val="24"/>
              </w:rPr>
            </w:pPr>
            <w:r>
              <w:lastRenderedPageBreak/>
              <w:t>Pokud příslušný orgán nesdělil žádné dodatečné požadavky na kapitál, který má být udržován ve formě kmenového kapitálu tier 1, uvádí se pouze bod i).</w:t>
            </w:r>
            <w:r>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r>
              <w:t>Je-li instituce vázána minimálním výstupním prahem, představují vykazované údaje TSCR požadované ke splnění požadavků k datu vykazování s ohledem na ustanovení čl. 104a odst. 6 směrnice 2013/36/EU.</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lastRenderedPageBreak/>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složený z kapitálu tier 1</w:t>
            </w:r>
          </w:p>
          <w:p w14:paraId="58AEED52" w14:textId="77777777" w:rsidR="00CC7D2C" w:rsidRPr="002A677E" w:rsidRDefault="00CC7D2C" w:rsidP="00320EFD">
            <w:pPr>
              <w:pStyle w:val="InstructionsText"/>
            </w:pPr>
            <w:r>
              <w:t xml:space="preserve">Součet i) a </w:t>
            </w:r>
            <w:proofErr w:type="spellStart"/>
            <w:r>
              <w:t>ii</w:t>
            </w:r>
            <w:proofErr w:type="spellEnd"/>
            <w:r>
              <w:t>):</w:t>
            </w:r>
          </w:p>
          <w:p w14:paraId="49D34E50" w14:textId="77777777" w:rsidR="00CC7D2C" w:rsidRPr="002A677E" w:rsidRDefault="00CC7D2C" w:rsidP="00320EFD">
            <w:pPr>
              <w:pStyle w:val="InstructionsText"/>
              <w:numPr>
                <w:ilvl w:val="0"/>
                <w:numId w:val="21"/>
              </w:numPr>
            </w:pPr>
            <w:r>
              <w:t>poměr kmenového kapitálu tier 1 (6 %) podle čl. 92 odst. 1 písm. b) nařízení (EU) č. 575/2013;</w:t>
            </w:r>
          </w:p>
          <w:p w14:paraId="4A701FA4" w14:textId="77777777" w:rsidR="00CC7D2C" w:rsidRPr="002A677E" w:rsidRDefault="00CC7D2C" w:rsidP="00320EFD">
            <w:pPr>
              <w:pStyle w:val="InstructionsText"/>
              <w:numPr>
                <w:ilvl w:val="0"/>
                <w:numId w:val="21"/>
              </w:numPr>
              <w:rPr>
                <w:bCs/>
                <w:u w:val="single"/>
              </w:rPr>
            </w:pPr>
            <w:r>
              <w:t xml:space="preserve">část poměru P2R podle bodu </w:t>
            </w:r>
            <w:proofErr w:type="spellStart"/>
            <w:r>
              <w:t>ii</w:t>
            </w:r>
            <w:proofErr w:type="spellEnd"/>
            <w:r>
              <w:t>) řádku 0130, která musí být podle požadavku příslušného orgánu držena ve formě kapitálu tier 1.</w:t>
            </w:r>
          </w:p>
          <w:p w14:paraId="4A7AA27B" w14:textId="77777777" w:rsidR="00CC7D2C" w:rsidRDefault="00CC7D2C" w:rsidP="00320EFD">
            <w:pPr>
              <w:pStyle w:val="InstructionsText"/>
            </w:pPr>
            <w:r>
              <w:t>Jestliže příslušný orgán nesdělil žádné dodatečné požadavky na kapitál, který má být udržován ve formě kapitálu tier 1, uvádí se pouze bod i).</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t>Je-li instituce vázána minimálním výstupním prahem, představují vykazované údaje TSCR požadované ke splnění požadavků k datu vykazování s ohledem na ustanovení čl. 104a odst. 6 směrnice 2013/36/EU.</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t>0151</w:t>
            </w:r>
          </w:p>
        </w:tc>
        <w:tc>
          <w:tcPr>
            <w:tcW w:w="7620" w:type="dxa"/>
          </w:tcPr>
          <w:p w14:paraId="457CE892" w14:textId="6C5B141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Poměr celkového kapitálového požadavku podle procesu přezkumu a vyhodnocení (TSCR) bez stropu podle čl. 104a odst. 6 písm. a) směrnice 2013/36/EU</w:t>
            </w:r>
          </w:p>
          <w:p w14:paraId="63F2FF34" w14:textId="7D1FAC05" w:rsidR="00CC7D2C" w:rsidRDefault="00CC7D2C" w:rsidP="00320EFD">
            <w:pPr>
              <w:pStyle w:val="InstructionsText"/>
            </w:pPr>
            <w:r>
              <w:t>Ustanovení čl. 104a odst. 6 písm. a) směrnice 2013/36/EU</w:t>
            </w:r>
          </w:p>
          <w:p w14:paraId="7C3569BE" w14:textId="77777777" w:rsidR="00CC7D2C" w:rsidRPr="002A677E" w:rsidRDefault="00CC7D2C" w:rsidP="00320EFD">
            <w:pPr>
              <w:pStyle w:val="InstructionsText"/>
              <w:rPr>
                <w:rStyle w:val="InstructionsTabelleberschrift"/>
                <w:rFonts w:ascii="Times New Roman" w:hAnsi="Times New Roman"/>
                <w:sz w:val="24"/>
              </w:rPr>
            </w:pPr>
            <w:r>
              <w:t>V případě institucí, na něž se vztahuje výstupní práh, se jedná o poměr TSCR bez dočasného stropu stanoveného v čl. 104a odst. 6 písm. b) směrnice 2013/36/EU.</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0152</w:t>
            </w:r>
          </w:p>
        </w:tc>
        <w:tc>
          <w:tcPr>
            <w:tcW w:w="7620" w:type="dxa"/>
          </w:tcPr>
          <w:p w14:paraId="1FB8F650"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složený z kapitálu CET1</w:t>
            </w:r>
          </w:p>
          <w:p w14:paraId="15CE0D0B" w14:textId="43173606" w:rsidR="00CC7D2C" w:rsidRDefault="00CC7D2C" w:rsidP="00320EFD">
            <w:pPr>
              <w:pStyle w:val="InstructionsText"/>
            </w:pPr>
            <w:r>
              <w:t>Ustanovení čl. 104a odst. 6 písm. a) směrnice 2013/36/EU</w:t>
            </w:r>
          </w:p>
          <w:p w14:paraId="1CD71865" w14:textId="77777777" w:rsidR="00CC7D2C" w:rsidRPr="002A677E" w:rsidRDefault="00CC7D2C" w:rsidP="00320EFD">
            <w:pPr>
              <w:pStyle w:val="InstructionsText"/>
              <w:rPr>
                <w:rStyle w:val="InstructionsTabelleberschrift"/>
                <w:rFonts w:ascii="Times New Roman" w:hAnsi="Times New Roman"/>
                <w:sz w:val="24"/>
              </w:rPr>
            </w:pPr>
            <w:r>
              <w:t>V případě institucí, na něž se vztahuje výstupní práh, se jedná o poměr TSCR bez dočasného stropu stanoveného v čl. 104a odst. 6 písm. b) směrnice 2013/36/EU.</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t>0153</w:t>
            </w:r>
          </w:p>
        </w:tc>
        <w:tc>
          <w:tcPr>
            <w:tcW w:w="7620" w:type="dxa"/>
          </w:tcPr>
          <w:p w14:paraId="5716DFFC"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složený z kapitálu tier 1</w:t>
            </w:r>
          </w:p>
          <w:p w14:paraId="244808EF" w14:textId="6711A984" w:rsidR="00CC7D2C" w:rsidRDefault="00CC7D2C" w:rsidP="00320EFD">
            <w:pPr>
              <w:pStyle w:val="InstructionsText"/>
            </w:pPr>
            <w:r>
              <w:t>Ustanovení čl. 104a odst. 6 písm. a) směrnice 2013/36/EU</w:t>
            </w:r>
          </w:p>
          <w:p w14:paraId="7A8B6EB2" w14:textId="77777777" w:rsidR="00CC7D2C" w:rsidRPr="002A677E" w:rsidRDefault="00CC7D2C" w:rsidP="00320EFD">
            <w:pPr>
              <w:pStyle w:val="InstructionsText"/>
              <w:rPr>
                <w:rStyle w:val="InstructionsTabelleberschrift"/>
                <w:rFonts w:ascii="Times New Roman" w:hAnsi="Times New Roman"/>
                <w:sz w:val="24"/>
              </w:rPr>
            </w:pPr>
            <w:r>
              <w:t>V případě institucí, na něž se vztahuje výstupní práh, se jedná o poměr TSCR bez dočasného stropu stanoveného v čl. 104a odst. 6 písm. b) směrnice 2013/36/EU.</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Poměr celkového kapitálového požadavku (OCR)</w:t>
            </w:r>
          </w:p>
          <w:p w14:paraId="5D827426" w14:textId="77777777" w:rsidR="00CC7D2C" w:rsidRPr="002A677E" w:rsidRDefault="00CC7D2C" w:rsidP="00320EFD">
            <w:pPr>
              <w:pStyle w:val="InstructionsText"/>
            </w:pPr>
            <w:r>
              <w:t xml:space="preserve">Součet i) a </w:t>
            </w:r>
            <w:proofErr w:type="spellStart"/>
            <w:r>
              <w:t>ii</w:t>
            </w:r>
            <w:proofErr w:type="spellEnd"/>
            <w:r>
              <w:t>):</w:t>
            </w:r>
          </w:p>
          <w:p w14:paraId="70AEC1C6" w14:textId="77777777" w:rsidR="00CC7D2C" w:rsidRPr="002A677E" w:rsidRDefault="00CC7D2C" w:rsidP="00320EFD">
            <w:pPr>
              <w:pStyle w:val="InstructionsText"/>
              <w:numPr>
                <w:ilvl w:val="0"/>
                <w:numId w:val="22"/>
              </w:numPr>
            </w:pPr>
            <w:r>
              <w:t>poměr TSCR uvedený v řádku 0130;</w:t>
            </w:r>
          </w:p>
          <w:p w14:paraId="7B4CBF50" w14:textId="77777777" w:rsidR="00CC7D2C" w:rsidRPr="002A677E" w:rsidRDefault="00CC7D2C" w:rsidP="00320EFD">
            <w:pPr>
              <w:pStyle w:val="InstructionsText"/>
              <w:numPr>
                <w:ilvl w:val="0"/>
                <w:numId w:val="22"/>
              </w:numPr>
            </w:pPr>
            <w:r>
              <w:lastRenderedPageBreak/>
              <w:t>pokud je to v souladu s platnými právními předpisy, poměr požadavku kombinovaných kapitálových rezerv uvedený v čl. 128 bodě 6 směrnice 2013/36/EU.</w:t>
            </w:r>
          </w:p>
          <w:p w14:paraId="4A545FF7" w14:textId="77777777" w:rsidR="00CC7D2C" w:rsidRPr="002A677E" w:rsidRDefault="00CC7D2C" w:rsidP="00320EFD">
            <w:pPr>
              <w:pStyle w:val="InstructionsText"/>
            </w:pPr>
            <w:r>
              <w:t>Tento bod vyjadřuje poměr celkového kapitálového požadavku (OCR) vymezeného v oddíle 7.5 EBA SREP GL.</w:t>
            </w:r>
          </w:p>
          <w:p w14:paraId="21F262F8" w14:textId="77777777" w:rsidR="00CC7D2C" w:rsidRPr="002A677E" w:rsidRDefault="00CC7D2C" w:rsidP="00320EFD">
            <w:pPr>
              <w:pStyle w:val="InstructionsText"/>
              <w:rPr>
                <w:rStyle w:val="InstructionsTabelleberschrift"/>
                <w:rFonts w:ascii="Times New Roman" w:hAnsi="Times New Roman"/>
                <w:sz w:val="24"/>
              </w:rPr>
            </w:pPr>
            <w:r>
              <w:t>Nepoužije-li se žádný požadavek rezerv, vykazuje se pouze bod i).</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lastRenderedPageBreak/>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Celkový kapitálový požadavek: složený z kmenového kapitálu tier 1 </w:t>
            </w:r>
          </w:p>
          <w:p w14:paraId="3B6DAF93" w14:textId="77777777" w:rsidR="00CC7D2C" w:rsidRPr="002A677E" w:rsidRDefault="00CC7D2C" w:rsidP="00320EFD">
            <w:pPr>
              <w:pStyle w:val="InstructionsText"/>
            </w:pPr>
            <w:r>
              <w:t xml:space="preserve">Součet i) a </w:t>
            </w:r>
            <w:proofErr w:type="spellStart"/>
            <w:r>
              <w:t>ii</w:t>
            </w:r>
            <w:proofErr w:type="spellEnd"/>
            <w:r>
              <w:t>):</w:t>
            </w:r>
          </w:p>
          <w:p w14:paraId="79F55B10" w14:textId="77777777" w:rsidR="00CC7D2C" w:rsidRPr="002A677E" w:rsidRDefault="00CC7D2C" w:rsidP="00320EFD">
            <w:pPr>
              <w:pStyle w:val="InstructionsText"/>
              <w:numPr>
                <w:ilvl w:val="0"/>
                <w:numId w:val="23"/>
              </w:numPr>
            </w:pPr>
            <w:r>
              <w:t>poměr TSCR z kmenového kapitálu tier 1 uvedený v řádku 0140;</w:t>
            </w:r>
          </w:p>
          <w:p w14:paraId="54B36BA6" w14:textId="77777777" w:rsidR="00CC7D2C" w:rsidRPr="002A677E" w:rsidRDefault="00CC7D2C" w:rsidP="00320EFD">
            <w:pPr>
              <w:pStyle w:val="InstructionsText"/>
              <w:numPr>
                <w:ilvl w:val="0"/>
                <w:numId w:val="23"/>
              </w:numPr>
              <w:rPr>
                <w:bCs/>
                <w:u w:val="single"/>
              </w:rPr>
            </w:pPr>
            <w:r>
              <w:t>pokud je to v souladu s platnými právními předpisy, poměr požadavku kombinovaných kapitálových rezerv uvedený v čl. 128 bodě 6 směrnice 2013/36/EU.</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t>Nepoužije-li se žádný požadavek rezerv, vykazuje se pouze bod i).</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Celkový kapitálový požadavek: složený z kapitálu tier 1</w:t>
            </w:r>
          </w:p>
          <w:p w14:paraId="54EBB570" w14:textId="77777777" w:rsidR="00CC7D2C" w:rsidRPr="002A677E" w:rsidRDefault="00CC7D2C" w:rsidP="00320EFD">
            <w:pPr>
              <w:pStyle w:val="InstructionsText"/>
            </w:pPr>
            <w:r>
              <w:t xml:space="preserve">Součet i) a </w:t>
            </w:r>
            <w:proofErr w:type="spellStart"/>
            <w:r>
              <w:t>ii</w:t>
            </w:r>
            <w:proofErr w:type="spellEnd"/>
            <w:r>
              <w:t>):</w:t>
            </w:r>
          </w:p>
          <w:p w14:paraId="719C6493" w14:textId="77777777" w:rsidR="00CC7D2C" w:rsidRPr="002A677E" w:rsidRDefault="00CC7D2C" w:rsidP="00320EFD">
            <w:pPr>
              <w:pStyle w:val="InstructionsText"/>
              <w:numPr>
                <w:ilvl w:val="0"/>
                <w:numId w:val="24"/>
              </w:numPr>
            </w:pPr>
            <w:r>
              <w:t>poměr TSCR z kapitálu tier 1 uvedený v řádku 0150;</w:t>
            </w:r>
          </w:p>
          <w:p w14:paraId="17CB41E8" w14:textId="77777777" w:rsidR="00CC7D2C" w:rsidRPr="002A677E" w:rsidRDefault="00CC7D2C" w:rsidP="00320EFD">
            <w:pPr>
              <w:pStyle w:val="InstructionsText"/>
              <w:numPr>
                <w:ilvl w:val="0"/>
                <w:numId w:val="24"/>
              </w:numPr>
              <w:rPr>
                <w:bCs/>
                <w:u w:val="single"/>
              </w:rPr>
            </w:pPr>
            <w:r>
              <w:t>pokud je to v souladu s platnými právními předpisy, poměr požadavku kombinovaných kapitálových rezerv uvedený v čl. 128 bodě 6 směrnice 2013/36/EU.</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t>Nepoužije-li se žádný požadavek rezerv, vykazuje se pouze bod i).</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Poměr celkového kapitálového požadavku (OCR) a kapitálového pokynu podle pilíře 2 (P2G)</w:t>
            </w:r>
          </w:p>
          <w:p w14:paraId="35C8C660" w14:textId="77777777" w:rsidR="00CC7D2C" w:rsidRPr="002A677E" w:rsidRDefault="00CC7D2C" w:rsidP="00320EFD">
            <w:pPr>
              <w:pStyle w:val="InstructionsText"/>
            </w:pPr>
            <w:r>
              <w:t xml:space="preserve">Součet i) a </w:t>
            </w:r>
            <w:proofErr w:type="spellStart"/>
            <w:r>
              <w:t>ii</w:t>
            </w:r>
            <w:proofErr w:type="spellEnd"/>
            <w:r>
              <w:t>):</w:t>
            </w:r>
          </w:p>
          <w:p w14:paraId="726F15CE" w14:textId="77777777" w:rsidR="00CC7D2C" w:rsidRPr="002A677E" w:rsidRDefault="00CC7D2C" w:rsidP="00320EFD">
            <w:pPr>
              <w:pStyle w:val="InstructionsText"/>
              <w:numPr>
                <w:ilvl w:val="0"/>
                <w:numId w:val="25"/>
              </w:numPr>
            </w:pPr>
            <w:r>
              <w:t>poměr celkového kapitálového požadavku (OCR) uvedený v řádku 160;</w:t>
            </w:r>
          </w:p>
          <w:p w14:paraId="2AA4843C" w14:textId="77777777" w:rsidR="00CC7D2C" w:rsidRPr="002A677E" w:rsidRDefault="00CC7D2C" w:rsidP="00320EFD">
            <w:pPr>
              <w:pStyle w:val="InstructionsText"/>
              <w:numPr>
                <w:ilvl w:val="0"/>
                <w:numId w:val="25"/>
              </w:numPr>
              <w:rPr>
                <w:bCs/>
                <w:u w:val="single"/>
              </w:rPr>
            </w:pPr>
            <w:r>
              <w:t>v příslušných případech pokyn ohledně poměru dodatečného kapitálu sdělený příslušným orgánem (kapitálový pokyn podle pilíře 2 – P2G) podle čl. 104b odst. 3 směrnice 2013/36/EU. Dodatečný kapitál je vymezen v souladu s oddílem 7.7.1 EBA SREP GL. P2G se zahrnuje pouze tehdy, pokud ho instituci sdělí příslušný orgán.</w:t>
            </w:r>
          </w:p>
          <w:p w14:paraId="0471CA24" w14:textId="77777777" w:rsidR="00CC7D2C" w:rsidRPr="002A677E" w:rsidRDefault="00CC7D2C" w:rsidP="00320EFD">
            <w:pPr>
              <w:pStyle w:val="InstructionsText"/>
              <w:rPr>
                <w:rStyle w:val="InstructionsTabelleberschrift"/>
                <w:rFonts w:ascii="Times New Roman" w:hAnsi="Times New Roman"/>
                <w:b w:val="0"/>
                <w:sz w:val="24"/>
              </w:rPr>
            </w:pPr>
            <w:r>
              <w:t xml:space="preserve">Pokud příslušný orgán nesdělil žádné požadavky podle kapitálového pokynu podle pilíře 2, uvádí se pouze bod i).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a P2G: složený z kmenového kapitálu tier 1 </w:t>
            </w:r>
          </w:p>
          <w:p w14:paraId="13795065" w14:textId="77777777" w:rsidR="00CC7D2C" w:rsidRPr="002A677E" w:rsidRDefault="00CC7D2C" w:rsidP="00320EFD">
            <w:pPr>
              <w:pStyle w:val="InstructionsText"/>
            </w:pPr>
            <w:r>
              <w:t xml:space="preserve">Součet i) a </w:t>
            </w:r>
            <w:proofErr w:type="spellStart"/>
            <w:r>
              <w:t>ii</w:t>
            </w:r>
            <w:proofErr w:type="spellEnd"/>
            <w:r>
              <w:t>):</w:t>
            </w:r>
          </w:p>
          <w:p w14:paraId="300DF4C8" w14:textId="77777777" w:rsidR="00CC7D2C" w:rsidRPr="002A677E" w:rsidRDefault="00CC7D2C" w:rsidP="00320EFD">
            <w:pPr>
              <w:pStyle w:val="InstructionsText"/>
              <w:numPr>
                <w:ilvl w:val="0"/>
                <w:numId w:val="26"/>
              </w:numPr>
            </w:pPr>
            <w:r>
              <w:t>poměr OCR z kapitálu CET1 uvedený v řádku 0170;</w:t>
            </w:r>
          </w:p>
          <w:p w14:paraId="22745814" w14:textId="77777777" w:rsidR="00CC7D2C" w:rsidRPr="002A677E" w:rsidRDefault="00CC7D2C" w:rsidP="00320EFD">
            <w:pPr>
              <w:pStyle w:val="InstructionsText"/>
              <w:numPr>
                <w:ilvl w:val="0"/>
                <w:numId w:val="26"/>
              </w:numPr>
              <w:rPr>
                <w:bCs/>
                <w:u w:val="single"/>
              </w:rPr>
            </w:pPr>
            <w:r>
              <w:t xml:space="preserve">v příslušném případě část P2G podle bodu </w:t>
            </w:r>
            <w:proofErr w:type="spellStart"/>
            <w:r>
              <w:t>ii</w:t>
            </w:r>
            <w:proofErr w:type="spellEnd"/>
            <w:r>
              <w:t>) řádku 0190, která musí být podle požadavku příslušného orgánu držena ve formě kmenového kapitálu tier 1. P2G se zahrne pouze tehdy, pokud ho instituci sdělí příslušný orgán.</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lastRenderedPageBreak/>
              <w:t>Pokud příslušný orgán nesdělil žádné požadavky podle kapitálového pokynu podle pilíře 2, uvádí se pouze bod i).</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lastRenderedPageBreak/>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a P2G: složený z kapitálu tier 1 </w:t>
            </w:r>
          </w:p>
          <w:p w14:paraId="4156D090" w14:textId="77777777" w:rsidR="00CC7D2C" w:rsidRPr="002A677E" w:rsidRDefault="00CC7D2C" w:rsidP="00320EFD">
            <w:pPr>
              <w:pStyle w:val="InstructionsText"/>
            </w:pPr>
            <w:r>
              <w:t xml:space="preserve">Součet i) a </w:t>
            </w:r>
            <w:proofErr w:type="spellStart"/>
            <w:r>
              <w:t>ii</w:t>
            </w:r>
            <w:proofErr w:type="spellEnd"/>
            <w:r>
              <w:t>):</w:t>
            </w:r>
          </w:p>
          <w:p w14:paraId="3A8C0BF0" w14:textId="77777777" w:rsidR="00CC7D2C" w:rsidRPr="002A677E" w:rsidRDefault="00CC7D2C" w:rsidP="00320EFD">
            <w:pPr>
              <w:pStyle w:val="InstructionsText"/>
              <w:numPr>
                <w:ilvl w:val="0"/>
                <w:numId w:val="27"/>
              </w:numPr>
            </w:pPr>
            <w:r>
              <w:t>poměr OCR z kapitálu tier 1 uvedený v řádku 0180;</w:t>
            </w:r>
          </w:p>
          <w:p w14:paraId="29B2D80C" w14:textId="77777777" w:rsidR="00CC7D2C" w:rsidRPr="002A677E" w:rsidRDefault="00CC7D2C" w:rsidP="00320EFD">
            <w:pPr>
              <w:pStyle w:val="InstructionsText"/>
              <w:numPr>
                <w:ilvl w:val="0"/>
                <w:numId w:val="27"/>
              </w:numPr>
            </w:pPr>
            <w:r>
              <w:t xml:space="preserve">v příslušných případech část P2R podle bodu </w:t>
            </w:r>
            <w:proofErr w:type="spellStart"/>
            <w:r>
              <w:t>ii</w:t>
            </w:r>
            <w:proofErr w:type="spellEnd"/>
            <w:r>
              <w:t>) řádku 0190, která musí být podle požadavku příslušného orgánu držena ve formě kapitálu tier 1. P2G se zahrne pouze tehdy, pokud ho instituci sdělí příslušný orgán.</w:t>
            </w:r>
          </w:p>
          <w:p w14:paraId="4D17006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Pokud příslušný orgán nesdělil žádné požadavky podle kapitálového pokynu podle pilíře 2, uvádí se pouze bod i).</w:t>
            </w:r>
            <w:r>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Přebytek (+) / nedostatek (−) kmenového kapitálu tier 1 s ohledem na požadavky uvedené v článku 92 nařízení (EU) č. 575/2013 a článku 104a směrnice 2013/36/EU</w:t>
            </w:r>
          </w:p>
          <w:p w14:paraId="372BA67A" w14:textId="77777777" w:rsidR="00CC7D2C" w:rsidRPr="002A677E" w:rsidRDefault="00CC7D2C" w:rsidP="00320EFD">
            <w:pPr>
              <w:pStyle w:val="InstructionsText"/>
            </w:pPr>
            <w:r>
              <w:t>V této položce se v absolutní hodnotě uvádí částka přebytku nebo nedostatku kmenového kapitálu tier 1 vztahující se k požadavku, který je stanoven v čl. 92 odst. 1 písm. a) nařízení (EU) č. 575/2013 (4,5 %) a článku 104a směrnice 2013/36/EU – s výjimkou dodatečného kapitálu za účelem řešení rizika nadměrné páky podle odstavce 3 zmíněného článku –, v rozsahu, v jakém musí být požadavek článku 104a uvedené směrnice splněn kmenovým kapitálem tier 1. Pokud instituce musí svůj kmenový kapitál tier 1 použít ke splnění požadavků čl. 92 odst. 1 písm. b) a/nebo c) nařízení (EU) č. 575/2013 a/nebo článku 104a směrnice 2013/36/EU nad rámec toho, do jaké míry musí být požadavek článku 104a uvedené směrnice splněn kmenovým kapitálem tier 1, vykázaný přebytek nebo schodek tuto skutečnost zohlední.</w:t>
            </w:r>
          </w:p>
          <w:p w14:paraId="209E5975" w14:textId="77777777" w:rsidR="00CC7D2C" w:rsidRPr="002A677E" w:rsidRDefault="00CC7D2C" w:rsidP="00320EFD">
            <w:pPr>
              <w:pStyle w:val="InstructionsText"/>
              <w:rPr>
                <w:rStyle w:val="InstructionsTabelleberschrift"/>
                <w:rFonts w:ascii="Times New Roman" w:hAnsi="Times New Roman"/>
                <w:sz w:val="24"/>
              </w:rPr>
            </w:pPr>
            <w:r>
              <w:t>Tato částka odráží kmenový kapitál tier 1, který je k dispozici ke splnění požadavku kombinovaných kapitálových rezerv a dalších požadavků.</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t>0330</w:t>
            </w:r>
          </w:p>
        </w:tc>
        <w:tc>
          <w:tcPr>
            <w:tcW w:w="7620" w:type="dxa"/>
          </w:tcPr>
          <w:p w14:paraId="4113A266"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Plně využitý poměr kmenového kapitálu tier 1 </w:t>
            </w:r>
          </w:p>
          <w:p w14:paraId="2949E777" w14:textId="77777777" w:rsidR="00CC7D2C" w:rsidRPr="009A3DD3" w:rsidRDefault="00CC7D2C" w:rsidP="00822842">
            <w:pPr>
              <w:rPr>
                <w:rFonts w:ascii="Times New Roman" w:hAnsi="Times New Roman"/>
                <w:sz w:val="24"/>
              </w:rPr>
            </w:pPr>
            <w:r>
              <w:rPr>
                <w:rFonts w:ascii="Times New Roman" w:hAnsi="Times New Roman"/>
                <w:sz w:val="24"/>
              </w:rPr>
              <w:t>Ustanovení čl. 92 odst. 2 písm. a) nařízení (EU) č. 575/2013 bez použití článku 465 uvedeného nařízení</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Plně využitý kapitálový poměr tier 1 </w:t>
            </w:r>
          </w:p>
          <w:p w14:paraId="39EB4D1F" w14:textId="77777777" w:rsidR="00CC7D2C" w:rsidRPr="009A3DD3" w:rsidRDefault="00CC7D2C" w:rsidP="00822842">
            <w:pPr>
              <w:rPr>
                <w:rFonts w:ascii="Times New Roman" w:hAnsi="Times New Roman"/>
                <w:sz w:val="24"/>
              </w:rPr>
            </w:pPr>
            <w:r>
              <w:rPr>
                <w:rFonts w:ascii="Times New Roman" w:hAnsi="Times New Roman"/>
                <w:sz w:val="24"/>
              </w:rPr>
              <w:t>Ustanovení čl. 92 odst. 2 písm. b) nařízení (EU) č. 575/2013 bez použití článku 465 uvedeného nařízení.</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t>0350</w:t>
            </w:r>
          </w:p>
        </w:tc>
        <w:tc>
          <w:tcPr>
            <w:tcW w:w="7620" w:type="dxa"/>
          </w:tcPr>
          <w:p w14:paraId="444FD113"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Plně využitý celkový kapitálový poměr </w:t>
            </w:r>
          </w:p>
          <w:p w14:paraId="45149E78" w14:textId="77777777" w:rsidR="00CC7D2C" w:rsidRPr="009A3DD3" w:rsidRDefault="00CC7D2C" w:rsidP="00822842">
            <w:pPr>
              <w:rPr>
                <w:rFonts w:ascii="Times New Roman" w:hAnsi="Times New Roman"/>
                <w:sz w:val="24"/>
              </w:rPr>
            </w:pPr>
            <w:r>
              <w:rPr>
                <w:rFonts w:ascii="Times New Roman" w:hAnsi="Times New Roman"/>
                <w:sz w:val="24"/>
              </w:rPr>
              <w:t>Ustanovení čl. 92 odst. 2 písm. c) nařízení (EU) č. 575/2013 bez použití článku 465 uvedeného nařízení.</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Poměr kmenového kapitálu tier 1 bez uplatnění přechodných ustanovení pro minimální výstupní práh S-TREA (čl. 465 odst. 3, 4, 5 a 7 nařízení (EU) č. 575/2013)</w:t>
            </w:r>
          </w:p>
          <w:p w14:paraId="0881DD8C" w14:textId="551C71D4" w:rsidR="00CC7D2C" w:rsidRPr="009A3DD3" w:rsidRDefault="00CC7D2C" w:rsidP="00822842">
            <w:pPr>
              <w:rPr>
                <w:rFonts w:ascii="Times New Roman" w:hAnsi="Times New Roman"/>
                <w:sz w:val="24"/>
              </w:rPr>
            </w:pPr>
            <w:r>
              <w:rPr>
                <w:rFonts w:ascii="Times New Roman" w:hAnsi="Times New Roman"/>
                <w:sz w:val="24"/>
              </w:rPr>
              <w:lastRenderedPageBreak/>
              <w:t>Ustanovení čl. 92 odst. 2 písm. a) nařízení (EU) č. 575/2013 bez použití čl. 465 odst. 3, 4, 5 a 7 uvedeného nařízení</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lastRenderedPageBreak/>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Kapitálový poměr tier 1 bez uplatnění přechodných ustanovení pro minimální výstupní práh S-TREA (čl. 465 odst. 3, 4, 5 a 7 nařízení (EU) č. 575/2013)</w:t>
            </w:r>
          </w:p>
          <w:p w14:paraId="33AE485B" w14:textId="77A464ED" w:rsidR="00CC7D2C" w:rsidRPr="009A3DD3" w:rsidRDefault="00CC7D2C" w:rsidP="00822842">
            <w:pPr>
              <w:rPr>
                <w:rFonts w:ascii="Times New Roman" w:hAnsi="Times New Roman"/>
                <w:sz w:val="24"/>
              </w:rPr>
            </w:pPr>
            <w:r>
              <w:rPr>
                <w:rFonts w:ascii="Times New Roman" w:hAnsi="Times New Roman"/>
                <w:sz w:val="24"/>
              </w:rPr>
              <w:t>Ustanovení čl. 92 odst. 2 písm. b) nařízení (EU) č. 575/2013 bez použití čl. 465 odst. 3, 4, 5 a 7 uvedeného nařízení.</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Celkový poměr kapitálu bez uplatnění přechodných ustanovení pro minimální výstupní práh S-TREA (čl. 465 odst. 3, 4, 5 a 7 nařízení (EU) č. 575/2013)</w:t>
            </w:r>
          </w:p>
          <w:p w14:paraId="116A4C8A" w14:textId="03344BD5" w:rsidR="00CC7D2C" w:rsidRPr="009A3DD3" w:rsidRDefault="00CC7D2C" w:rsidP="00822842">
            <w:pPr>
              <w:rPr>
                <w:rFonts w:ascii="Times New Roman" w:hAnsi="Times New Roman"/>
                <w:sz w:val="24"/>
              </w:rPr>
            </w:pPr>
            <w:r>
              <w:rPr>
                <w:rFonts w:ascii="Times New Roman" w:hAnsi="Times New Roman"/>
                <w:sz w:val="24"/>
              </w:rPr>
              <w:t>Ustanovení čl. 92 odst. 2 písm. c) nařízení (EU) č. 575/2013 bez použití čl. 465 odst. 3, 4, 5 a 7 uvedeného nařízení</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1.5</w:t>
      </w:r>
      <w:r>
        <w:tab/>
        <w:t>C 04.00 – DOPLŇKOVÉ POLOŽKY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1.5.1</w:t>
      </w:r>
      <w:r>
        <w:tab/>
        <w:t>Pokyny pro konkrétní</w:t>
      </w:r>
      <w:bookmarkEnd w:id="41"/>
      <w:bookmarkEnd w:id="42"/>
      <w:r>
        <w:t xml:space="preserve"> pozice</w:t>
      </w:r>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t>Řádky</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0010</w:t>
            </w:r>
          </w:p>
        </w:tc>
        <w:tc>
          <w:tcPr>
            <w:tcW w:w="7049" w:type="dxa"/>
          </w:tcPr>
          <w:p w14:paraId="65BD25C5"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Odložené daňové pohledávky celkem</w:t>
            </w:r>
          </w:p>
          <w:p w14:paraId="245EEDA1" w14:textId="77777777" w:rsidR="00CC7D2C" w:rsidRPr="002A677E" w:rsidRDefault="00CC7D2C" w:rsidP="00320EFD">
            <w:pPr>
              <w:pStyle w:val="InstructionsText"/>
            </w:pPr>
            <w:r>
              <w:t>Částka, která má být vykázána v této položce, se rovná částce uvedené v nejnovější ověřené/auditované účetní rozvaze.</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t>0020</w:t>
            </w:r>
          </w:p>
        </w:tc>
        <w:tc>
          <w:tcPr>
            <w:tcW w:w="7049" w:type="dxa"/>
          </w:tcPr>
          <w:p w14:paraId="4AD2BCB6" w14:textId="77777777" w:rsidR="00CC7D2C" w:rsidRPr="002A677E" w:rsidRDefault="00CC7D2C" w:rsidP="00320EFD">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Odložené daňové pohledávky, které nejsou závislé na budoucím zisku</w:t>
            </w:r>
          </w:p>
          <w:p w14:paraId="119E6584" w14:textId="77777777" w:rsidR="00CC7D2C" w:rsidRPr="002A677E" w:rsidRDefault="00CC7D2C" w:rsidP="00320EFD">
            <w:pPr>
              <w:pStyle w:val="InstructionsText"/>
            </w:pPr>
            <w:r>
              <w:t>Ustanovení čl. 39 odst. 2 nařízení (EU) č. 575/2013</w:t>
            </w:r>
          </w:p>
          <w:p w14:paraId="04A932CD" w14:textId="77777777" w:rsidR="00CC7D2C" w:rsidRPr="002A677E" w:rsidRDefault="00CC7D2C" w:rsidP="00320EFD">
            <w:pPr>
              <w:pStyle w:val="InstructionsText"/>
            </w:pPr>
            <w:r>
              <w:t>Odložené daňové pohledávky, které byly vytvořeny před 23. listopadem 2016 a nejsou závislé na budoucím zisku, a tudíž se na ně uplatní riziková váha.</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0030</w:t>
            </w:r>
          </w:p>
        </w:tc>
        <w:tc>
          <w:tcPr>
            <w:tcW w:w="7049" w:type="dxa"/>
          </w:tcPr>
          <w:p w14:paraId="7731AAFB" w14:textId="77777777" w:rsidR="00CC7D2C" w:rsidRPr="002A677E" w:rsidRDefault="00CC7D2C" w:rsidP="00320EFD">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Odložené daňové pohledávky, které jsou závislé na budoucím zisku a nevyplývají z přechodných rozdílů</w:t>
            </w:r>
          </w:p>
          <w:p w14:paraId="477958DE" w14:textId="77777777" w:rsidR="00CC7D2C" w:rsidRPr="002A677E" w:rsidRDefault="00CC7D2C" w:rsidP="00320EFD">
            <w:pPr>
              <w:pStyle w:val="InstructionsText"/>
            </w:pPr>
            <w:r>
              <w:t>Ustanovení čl. 36 odst. 1 písm. c) a článku 38 nařízení (EU) č. 575/2013</w:t>
            </w:r>
          </w:p>
          <w:p w14:paraId="155315E4" w14:textId="77777777" w:rsidR="00CC7D2C" w:rsidRPr="002A677E" w:rsidRDefault="00CC7D2C" w:rsidP="00320EFD">
            <w:pPr>
              <w:pStyle w:val="InstructionsText"/>
            </w:pPr>
            <w:r>
              <w:t>Odložené daňové pohledávky, které jsou závislé na budoucím zisku, ale nevyplývají z přechodných rozdílů, a tudíž se na ně nevztahují žádné prahové hodnoty (tj. v plném rozsahu se odečítají od kmenového kapitálu tier 1).</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t>0040</w:t>
            </w:r>
          </w:p>
        </w:tc>
        <w:tc>
          <w:tcPr>
            <w:tcW w:w="7049" w:type="dxa"/>
          </w:tcPr>
          <w:p w14:paraId="7502D26B" w14:textId="77777777" w:rsidR="00CC7D2C" w:rsidRPr="002A677E" w:rsidRDefault="00CC7D2C" w:rsidP="00320EFD">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Odložené daňové pohledávky, které jsou závislé na budoucím zisku a vyplývají z přechodných rozdílů</w:t>
            </w:r>
          </w:p>
          <w:p w14:paraId="084F3ACD" w14:textId="77777777" w:rsidR="00CC7D2C" w:rsidRPr="002A677E" w:rsidRDefault="00CC7D2C" w:rsidP="00320EFD">
            <w:pPr>
              <w:pStyle w:val="InstructionsText"/>
            </w:pPr>
            <w:r>
              <w:t>Čl. 36 odst. 1 písm. c), článku 38 a čl. 48 odst. 1 písm. a) nařízení (EU) č. 575/2013</w:t>
            </w:r>
          </w:p>
          <w:p w14:paraId="628F7B8D" w14:textId="77777777" w:rsidR="00CC7D2C" w:rsidRPr="002A677E" w:rsidRDefault="00CC7D2C" w:rsidP="00320EFD">
            <w:pPr>
              <w:pStyle w:val="InstructionsText"/>
            </w:pPr>
            <w:r>
              <w:lastRenderedPageBreak/>
              <w:t>Odložené daňové pohledávky, které jsou závislé na budoucím zisku a vyplývají z přechodných rozdílů, takže na jejich odpočet od kmenového kapitálu tier 1 se vztahují prahové hodnoty ve výši 10 % a 17,65 % podle článku 48 nařízení (EU) č. 575/2013.</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lastRenderedPageBreak/>
              <w:t>0050</w:t>
            </w:r>
          </w:p>
        </w:tc>
        <w:tc>
          <w:tcPr>
            <w:tcW w:w="7049" w:type="dxa"/>
          </w:tcPr>
          <w:p w14:paraId="271F82DC" w14:textId="77777777" w:rsidR="00CC7D2C" w:rsidRPr="002A677E" w:rsidRDefault="00CC7D2C" w:rsidP="00320EFD">
            <w:pPr>
              <w:pStyle w:val="InstructionsText"/>
            </w:pPr>
            <w:r>
              <w:rPr>
                <w:rStyle w:val="InstructionsTabelleberschrift"/>
                <w:rFonts w:ascii="Times New Roman" w:hAnsi="Times New Roman"/>
                <w:sz w:val="24"/>
              </w:rPr>
              <w:t>2 Celkové odložené daňové závazky</w:t>
            </w:r>
          </w:p>
          <w:p w14:paraId="7EEBFB46" w14:textId="77777777" w:rsidR="00CC7D2C" w:rsidRPr="002A677E" w:rsidRDefault="00CC7D2C" w:rsidP="00320EFD">
            <w:pPr>
              <w:pStyle w:val="InstructionsText"/>
            </w:pPr>
            <w:r>
              <w:t>Částka, která má být vykázána v této položce, se rovná částce uvedené v nejnovější ověřené/auditované účetní rozvaze.</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t>0060</w:t>
            </w:r>
          </w:p>
        </w:tc>
        <w:tc>
          <w:tcPr>
            <w:tcW w:w="7049" w:type="dxa"/>
          </w:tcPr>
          <w:p w14:paraId="3A23A18B" w14:textId="77777777" w:rsidR="00CC7D2C" w:rsidRPr="002A677E" w:rsidRDefault="00CC7D2C" w:rsidP="00320EFD">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Odložené daňové závazky, které nelze odečíst od odložených daňových pohledávek závislých na budoucím zisku</w:t>
            </w:r>
          </w:p>
          <w:p w14:paraId="03F91C81" w14:textId="77777777" w:rsidR="00CC7D2C" w:rsidRPr="002A677E" w:rsidRDefault="00CC7D2C" w:rsidP="00320EFD">
            <w:pPr>
              <w:pStyle w:val="InstructionsText"/>
            </w:pPr>
            <w:r>
              <w:t>Ustanovení čl. 38 odst. 3 a 4 nařízení (EU) č. 575/2013</w:t>
            </w:r>
          </w:p>
          <w:p w14:paraId="06C72D86" w14:textId="77777777" w:rsidR="00CC7D2C" w:rsidRPr="002A677E" w:rsidRDefault="00CC7D2C" w:rsidP="00320EFD">
            <w:pPr>
              <w:pStyle w:val="InstructionsText"/>
            </w:pPr>
            <w:r>
              <w:t xml:space="preserve">Odložené daňové závazky, pro něž nejsou splněny podmínky uvedené v čl. 38 odst. 3 a 4 nařízení (EU) č. 575/2013. Do této položky tedy </w:t>
            </w:r>
            <w:proofErr w:type="gramStart"/>
            <w:r>
              <w:t>patří</w:t>
            </w:r>
            <w:proofErr w:type="gramEnd"/>
            <w:r>
              <w:t xml:space="preserve"> odložené daňové závazky snižující hodnotu goodwillu, jiných nehmotných aktiv nebo aktiv penzijního fondu definovaných požitků (uvedených ve stejném pořadí v položkách 1.1.1.10.3, 1.1.1.11.2 a 1.1.1.14.2 tabulky CA1), která má být odečtena.</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t>0070</w:t>
            </w:r>
          </w:p>
        </w:tc>
        <w:tc>
          <w:tcPr>
            <w:tcW w:w="7049" w:type="dxa"/>
          </w:tcPr>
          <w:p w14:paraId="2489B6DA" w14:textId="77777777" w:rsidR="00CC7D2C" w:rsidRPr="002A677E" w:rsidRDefault="00CC7D2C" w:rsidP="00320EFD">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Odložené daňové závazky, které lze odečíst od odložených daňových pohledávek závislých na budoucím zisku</w:t>
            </w:r>
          </w:p>
          <w:p w14:paraId="52387C25" w14:textId="77777777" w:rsidR="00CC7D2C" w:rsidRPr="002A677E" w:rsidRDefault="00CC7D2C" w:rsidP="00320EFD">
            <w:pPr>
              <w:pStyle w:val="InstructionsText"/>
            </w:pPr>
            <w:r>
              <w:t>Článek 38 nařízení (EU) č. 575/2013</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0080</w:t>
            </w:r>
          </w:p>
        </w:tc>
        <w:tc>
          <w:tcPr>
            <w:tcW w:w="7049" w:type="dxa"/>
          </w:tcPr>
          <w:p w14:paraId="4D5BD98A" w14:textId="77777777" w:rsidR="00CC7D2C" w:rsidRPr="002A677E" w:rsidRDefault="00CC7D2C" w:rsidP="00320EFD">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Odpočitatelné odložené daňové závazky související s odloženými daňovými pohledávkami, které jsou závislé na budoucím zisku a nevyplývají z přechodných rozdílů</w:t>
            </w:r>
          </w:p>
          <w:p w14:paraId="57B5679C" w14:textId="77777777" w:rsidR="00CC7D2C" w:rsidRPr="002A677E" w:rsidRDefault="00CC7D2C" w:rsidP="00320EFD">
            <w:pPr>
              <w:pStyle w:val="InstructionsText"/>
            </w:pPr>
            <w:r>
              <w:t>Ustanovení čl. 38 odst. 3, 4 a 5 nařízení (EU) č. 575/2013</w:t>
            </w:r>
          </w:p>
          <w:p w14:paraId="6554BBC3" w14:textId="77777777" w:rsidR="00CC7D2C" w:rsidRPr="002A677E" w:rsidRDefault="00CC7D2C" w:rsidP="00320EFD">
            <w:pPr>
              <w:pStyle w:val="InstructionsText"/>
            </w:pPr>
            <w:r>
              <w:t xml:space="preserve">Odložené daňové závazky, které mohou snižovat částku odložených daňových pohledávek závislých na budoucím zisku </w:t>
            </w:r>
            <w:r>
              <w:rPr>
                <w:rStyle w:val="FormatvorlageInstructionsTabelleText"/>
                <w:rFonts w:ascii="Times New Roman" w:hAnsi="Times New Roman"/>
                <w:sz w:val="24"/>
              </w:rPr>
              <w:t>podle</w:t>
            </w:r>
            <w:r>
              <w:t xml:space="preserve"> čl. 38 odst. 3 a 4 nařízení (EU) č. 575/2013 a které nelze přiřadit k odloženým daňovým pohledávkám, jež jsou závislé na budoucím zisku, vyplývají z přechodných rozdílů a jsou vymezeny v čl. 38 odst. 5 nařízení (EU) č. 575/2013.</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t>0090</w:t>
            </w:r>
          </w:p>
        </w:tc>
        <w:tc>
          <w:tcPr>
            <w:tcW w:w="7049" w:type="dxa"/>
          </w:tcPr>
          <w:p w14:paraId="54A4DB87" w14:textId="77777777" w:rsidR="00CC7D2C" w:rsidRPr="002A677E" w:rsidRDefault="00CC7D2C" w:rsidP="00320EFD">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Odpočitatelné odložené daňové závazky související s odloženými daňovými pohledávkami, které jsou závislé na budoucím zisku a vyplývají z přechodných rozdílů</w:t>
            </w:r>
          </w:p>
          <w:p w14:paraId="5386BFFB" w14:textId="77777777" w:rsidR="00CC7D2C" w:rsidRPr="002A677E" w:rsidRDefault="00CC7D2C" w:rsidP="00320EFD">
            <w:pPr>
              <w:pStyle w:val="InstructionsText"/>
            </w:pPr>
            <w:r>
              <w:t>Ustanovení čl. 38 odst. 3, 4 a 5 nařízení (EU) č. 575/2013</w:t>
            </w:r>
          </w:p>
          <w:p w14:paraId="737FD646" w14:textId="77777777" w:rsidR="00CC7D2C" w:rsidRPr="002A677E" w:rsidRDefault="00CC7D2C" w:rsidP="00320EFD">
            <w:pPr>
              <w:pStyle w:val="InstructionsText"/>
            </w:pPr>
            <w:r>
              <w:t xml:space="preserve">Odložené daňové závazky, které mohou snižovat částku odložených daňových pohledávek závislých na budoucím zisku </w:t>
            </w:r>
            <w:r>
              <w:rPr>
                <w:rStyle w:val="FormatvorlageInstructionsTabelleText"/>
                <w:rFonts w:ascii="Times New Roman" w:hAnsi="Times New Roman"/>
                <w:sz w:val="24"/>
              </w:rPr>
              <w:t>podle</w:t>
            </w:r>
            <w:r>
              <w:t xml:space="preserve"> čl. 38 odst. 3 a 4 nařízení (EU) č. 575/2013 a které se přiřazují k odloženým daňovým pohledávkám, jež jsou závislé na budoucím zisku, vyplývají z přechodných rozdílů a jsou vymezeny v čl. 38 odst. 5 nařízení (EU) č. 575/2013.</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0093</w:t>
            </w:r>
          </w:p>
        </w:tc>
        <w:tc>
          <w:tcPr>
            <w:tcW w:w="7049" w:type="dxa"/>
          </w:tcPr>
          <w:p w14:paraId="500B8394" w14:textId="77777777" w:rsidR="00CC7D2C" w:rsidRPr="002A677E" w:rsidRDefault="00CC7D2C" w:rsidP="00320EFD">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Přeplatky daně a zpětně použité daňové ztráty</w:t>
            </w:r>
          </w:p>
          <w:p w14:paraId="64C3A725" w14:textId="77777777" w:rsidR="00CC7D2C" w:rsidRPr="002A677E" w:rsidRDefault="00CC7D2C" w:rsidP="00320EFD">
            <w:pPr>
              <w:pStyle w:val="InstructionsText"/>
            </w:pPr>
            <w:r>
              <w:t>Ustanovení čl. 39 odst. 1 nařízení (EU) č. 575/2013</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Částka přeplatků daně a zpětně použitých daňových ztrát, která není odečtena od kapitálu podle čl. 39 odst. 1 nařízení (EU) č. 575/2013; vykázanou částkou je částka před použitím rizikových vah.</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lastRenderedPageBreak/>
              <w:t>0096</w:t>
            </w:r>
          </w:p>
        </w:tc>
        <w:tc>
          <w:tcPr>
            <w:tcW w:w="7049" w:type="dxa"/>
          </w:tcPr>
          <w:p w14:paraId="3559104F" w14:textId="77777777" w:rsidR="00CC7D2C" w:rsidRPr="002A677E" w:rsidRDefault="00CC7D2C" w:rsidP="00320EFD">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Odložené daňové pohledávky, které podléhají rizikové váze ve výši 250</w:t>
            </w:r>
            <w:r>
              <w:t> </w:t>
            </w:r>
            <w:r>
              <w:rPr>
                <w:rStyle w:val="InstructionsTabelleberschrift"/>
                <w:rFonts w:ascii="Times New Roman" w:hAnsi="Times New Roman"/>
                <w:sz w:val="24"/>
              </w:rPr>
              <w:t>%</w:t>
            </w:r>
          </w:p>
          <w:p w14:paraId="34D369D6" w14:textId="77777777" w:rsidR="00CC7D2C" w:rsidRPr="002A677E" w:rsidRDefault="00CC7D2C" w:rsidP="00320EFD">
            <w:pPr>
              <w:pStyle w:val="InstructionsText"/>
            </w:pPr>
            <w:r>
              <w:t>Ustanovení čl. 48 odst. 4 nařízení (EU) č. 575/2013</w:t>
            </w:r>
          </w:p>
          <w:p w14:paraId="2D9006FE" w14:textId="38F73BDB" w:rsidR="00CC7D2C" w:rsidRPr="002A677E" w:rsidRDefault="00CC7D2C" w:rsidP="00320EFD">
            <w:pPr>
              <w:pStyle w:val="InstructionsText"/>
              <w:rPr>
                <w:rStyle w:val="InstructionsTabelleberschrift"/>
                <w:rFonts w:ascii="Times New Roman" w:hAnsi="Times New Roman"/>
                <w:b w:val="0"/>
                <w:bCs w:val="0"/>
                <w:sz w:val="24"/>
                <w:u w:val="none"/>
              </w:rPr>
            </w:pPr>
            <w:r>
              <w:t>Částka odložených daňových pohledávek, které jsou závislé na budoucím zisku a vyplývají z přechodných rozdílů, které nejsou odečteny podle čl. 48 odst. 1 nařízení (EU) č. 575/2013, avšak podléhají rizikové váze 250 % podle čl. 48 odst. 4 uvedeného nařízení, při zohlednění dopadu článku 470a čl. 478 odst. 2 téhož nařízení. Vykázanou částkou je částka odložených daňových pohledávek před použitím rizikové váhy.</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t>0097</w:t>
            </w:r>
          </w:p>
        </w:tc>
        <w:tc>
          <w:tcPr>
            <w:tcW w:w="7049" w:type="dxa"/>
          </w:tcPr>
          <w:p w14:paraId="4798DC8E" w14:textId="77777777" w:rsidR="00CC7D2C" w:rsidRPr="002A677E" w:rsidRDefault="00CC7D2C" w:rsidP="00320EFD">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Odložené daňové pohledávky, které podléhají rizikové váze ve výši 0</w:t>
            </w:r>
            <w:r>
              <w:t> </w:t>
            </w:r>
            <w:r>
              <w:rPr>
                <w:rStyle w:val="InstructionsTabelleberschrift"/>
                <w:rFonts w:ascii="Times New Roman" w:hAnsi="Times New Roman"/>
                <w:sz w:val="24"/>
              </w:rPr>
              <w:t>%</w:t>
            </w:r>
          </w:p>
          <w:p w14:paraId="4E521C1C" w14:textId="77777777" w:rsidR="00CC7D2C" w:rsidRPr="002A677E" w:rsidRDefault="00CC7D2C" w:rsidP="00320EFD">
            <w:pPr>
              <w:pStyle w:val="InstructionsText"/>
            </w:pPr>
            <w:r>
              <w:t>Ustanovení čl. 469 odst. 1 písm. d), článku 470, čl. 472 odst. 5 a článku 478 nařízení (EU) č. 575/2013</w:t>
            </w:r>
          </w:p>
          <w:p w14:paraId="3F0D46EC" w14:textId="119A199E" w:rsidR="00CC7D2C" w:rsidRPr="002A677E" w:rsidRDefault="00CC7D2C" w:rsidP="00320EFD">
            <w:pPr>
              <w:pStyle w:val="InstructionsText"/>
              <w:rPr>
                <w:rStyle w:val="InstructionsTabelleberschrift"/>
                <w:rFonts w:ascii="Times New Roman" w:hAnsi="Times New Roman"/>
                <w:b w:val="0"/>
                <w:bCs w:val="0"/>
                <w:sz w:val="24"/>
                <w:u w:val="none"/>
              </w:rPr>
            </w:pPr>
            <w:r>
              <w:t>Částka odložených daňových pohledávek, které jsou závislé na budoucím zisku a vyplývají z přechodných rozdílů, které nejsou odečteny podle čl. 469 odst. 1 písm. d), článku 470 nařízení (EU) č. 575/2013 a čl. 478 odst. 2 uvedeného nařízení, avšak podléhají rizikové váze 0 % podle čl. 472 odst. 5 zmíněného nařízení. Vykázanou částkou je částka odložených daňových pohledávek před použitím rizikové váhy.</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 Aktiva v podobě softwaru zaúčtovaná jako nehmotná aktiva vyňatá z odpočtu od kmenového kapitálu tier 1</w:t>
            </w:r>
          </w:p>
          <w:p w14:paraId="5C8FA893" w14:textId="77777777" w:rsidR="00CC7D2C" w:rsidRPr="002A677E" w:rsidRDefault="00CC7D2C" w:rsidP="00320EFD">
            <w:pPr>
              <w:pStyle w:val="InstructionsText"/>
            </w:pPr>
            <w:r>
              <w:t>Ustanovení čl. 36 odst. 1 písm. b) nařízení (EU) č. 575/2013</w:t>
            </w:r>
          </w:p>
          <w:p w14:paraId="0E43062B" w14:textId="77777777" w:rsidR="00CC7D2C" w:rsidRPr="002A677E" w:rsidRDefault="00CC7D2C" w:rsidP="00320EFD">
            <w:pPr>
              <w:pStyle w:val="InstructionsText"/>
              <w:rPr>
                <w:rStyle w:val="InstructionsTabelleberschrift"/>
                <w:rFonts w:ascii="Times New Roman" w:hAnsi="Times New Roman"/>
                <w:sz w:val="24"/>
              </w:rPr>
            </w:pPr>
            <w:r>
              <w:t>Instituce vykazují částku obezřetně oceněných aktiv v podobě softwaru vyňatých z odpočtu od položek kmenového kapitálu tier 1 podle článku 13a nařízení v přenesené pravomoci (EU) č. 241/2014.</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2Y Nástroje zahrnované do vedlejšího kapitálu tier 1 a související emisní ážio klasifikované podle platných účetních standardů jako vlastní kapitál</w:t>
            </w:r>
          </w:p>
          <w:p w14:paraId="461168E6" w14:textId="77777777" w:rsidR="00CC7D2C" w:rsidRPr="002A677E" w:rsidRDefault="00CC7D2C" w:rsidP="00320EFD">
            <w:pPr>
              <w:pStyle w:val="InstructionsText"/>
              <w:rPr>
                <w:rStyle w:val="InstructionsTabelleberschrift"/>
                <w:rFonts w:ascii="Times New Roman" w:hAnsi="Times New Roman"/>
                <w:sz w:val="24"/>
              </w:rPr>
            </w:pPr>
            <w:r>
              <w:t>Hodnota nástrojů zahrnovaných do vedlejšího kapitálu tier 1, jež jsou podle platného účetního standardu klasifikovány jako vlastní kapitál, včetně souvisejícího emisního ážia</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2Z Nástroje zahrnované do vedlejšího kapitálu tier 1 a související emisní ážio klasifikované podle platných účetních standardů jako závazky</w:t>
            </w:r>
          </w:p>
          <w:p w14:paraId="7B3EED9F" w14:textId="77777777" w:rsidR="00CC7D2C" w:rsidRPr="002A677E" w:rsidRDefault="00CC7D2C" w:rsidP="00320EFD">
            <w:pPr>
              <w:pStyle w:val="InstructionsText"/>
              <w:rPr>
                <w:rStyle w:val="InstructionsTabelleberschrift"/>
                <w:rFonts w:ascii="Times New Roman" w:hAnsi="Times New Roman"/>
                <w:sz w:val="24"/>
              </w:rPr>
            </w:pPr>
            <w:r>
              <w:t>Hodnota nástrojů zahrnovaných do vedlejšího kapitálu tier 1, jež jsou podle platného účetního standardu klasifikovány jako závazky, včetně souvisejícího emisního ážia</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lastRenderedPageBreak/>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Přebytek (+) nebo schodek (−) podle IRB plynoucí z úprav o úvěrové riziko, dodatečných úprav ocenění a dalšího snížení kapitálu o očekávané ztráty z expozic, které nejsou v selhání</w:t>
            </w:r>
          </w:p>
          <w:p w14:paraId="281DFA69" w14:textId="77777777" w:rsidR="00CC7D2C" w:rsidRPr="002A677E" w:rsidRDefault="00CC7D2C" w:rsidP="00320EFD">
            <w:pPr>
              <w:pStyle w:val="InstructionsText"/>
            </w:pPr>
            <w:r>
              <w:t>Ustanovení čl. 36 odst. 1 písm. d), čl. 62 písm. d), článků 158 a 159 nařízení (EU) č. 575/2013</w:t>
            </w:r>
          </w:p>
          <w:p w14:paraId="211C61EB" w14:textId="77777777" w:rsidR="00CC7D2C" w:rsidRPr="002A677E" w:rsidRDefault="00CC7D2C" w:rsidP="00320EFD">
            <w:pPr>
              <w:pStyle w:val="InstructionsText"/>
            </w:pPr>
            <w:r>
              <w:t>Tuto položku uvádí pouze instituce používající přístup IRB.</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t>0110</w:t>
            </w:r>
          </w:p>
        </w:tc>
        <w:tc>
          <w:tcPr>
            <w:tcW w:w="7049" w:type="dxa"/>
          </w:tcPr>
          <w:p w14:paraId="2686C31A" w14:textId="77777777" w:rsidR="00CC7D2C" w:rsidRPr="002A677E" w:rsidRDefault="00CC7D2C" w:rsidP="00320EFD">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Celkové úpravy o úvěrové riziko, dodatečné úpravy ocenění a další snížení kapitálu, které lze začlenit do výpočtu výše očekávaných ztrát</w:t>
            </w:r>
          </w:p>
          <w:p w14:paraId="1AF7728C" w14:textId="77777777" w:rsidR="00CC7D2C" w:rsidRPr="002A677E" w:rsidRDefault="00CC7D2C" w:rsidP="00320EFD">
            <w:pPr>
              <w:pStyle w:val="InstructionsText"/>
            </w:pPr>
            <w:r>
              <w:t>Článek 159 nařízení (EU) č. 575/2013</w:t>
            </w:r>
          </w:p>
          <w:p w14:paraId="21F21DE2" w14:textId="77777777" w:rsidR="00CC7D2C" w:rsidRPr="002A677E" w:rsidRDefault="00CC7D2C" w:rsidP="00320EFD">
            <w:pPr>
              <w:pStyle w:val="InstructionsText"/>
            </w:pPr>
            <w:r>
              <w:t>Tuto položku uvádí pouze instituce používající přístup IRB.</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t>0120</w:t>
            </w:r>
          </w:p>
        </w:tc>
        <w:tc>
          <w:tcPr>
            <w:tcW w:w="7049" w:type="dxa"/>
          </w:tcPr>
          <w:p w14:paraId="2DDC1449" w14:textId="77777777" w:rsidR="00CC7D2C" w:rsidRPr="002A677E" w:rsidRDefault="00CC7D2C" w:rsidP="00320EFD">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Obecné úpravy o úvěrové riziko</w:t>
            </w:r>
          </w:p>
          <w:p w14:paraId="6F03085D" w14:textId="77777777" w:rsidR="00CC7D2C" w:rsidRPr="002A677E" w:rsidRDefault="00CC7D2C" w:rsidP="00320EFD">
            <w:pPr>
              <w:pStyle w:val="InstructionsText"/>
            </w:pPr>
            <w:r>
              <w:t>Článek 159 nařízení (EU) č. 575/2013</w:t>
            </w:r>
          </w:p>
          <w:p w14:paraId="6264BB70" w14:textId="77777777" w:rsidR="00CC7D2C" w:rsidRPr="002A677E" w:rsidRDefault="00CC7D2C" w:rsidP="00320EFD">
            <w:pPr>
              <w:pStyle w:val="InstructionsText"/>
            </w:pPr>
            <w:r>
              <w:t>Tuto položku uvádí pouze instituce používající přístup IRB.</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t>0130</w:t>
            </w:r>
          </w:p>
        </w:tc>
        <w:tc>
          <w:tcPr>
            <w:tcW w:w="7049" w:type="dxa"/>
          </w:tcPr>
          <w:p w14:paraId="60639211" w14:textId="77777777" w:rsidR="00CC7D2C" w:rsidRPr="002A677E" w:rsidRDefault="00CC7D2C" w:rsidP="00320EFD">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Specifické úpravy o úvěrové riziko</w:t>
            </w:r>
          </w:p>
          <w:p w14:paraId="66E78811" w14:textId="77777777" w:rsidR="00CC7D2C" w:rsidRPr="002A677E" w:rsidRDefault="00CC7D2C" w:rsidP="00320EFD">
            <w:pPr>
              <w:pStyle w:val="InstructionsText"/>
            </w:pPr>
            <w:r>
              <w:t>Článek 159 nařízení (EU) č. 575/2013</w:t>
            </w:r>
          </w:p>
          <w:p w14:paraId="5B5BE89D" w14:textId="77777777" w:rsidR="00CC7D2C" w:rsidRPr="002A677E" w:rsidRDefault="00CC7D2C" w:rsidP="00320EFD">
            <w:pPr>
              <w:pStyle w:val="InstructionsText"/>
            </w:pPr>
            <w:r>
              <w:t>Tuto položku uvádí pouze instituce používající přístup IRB.</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Dodatečné úpravy ocenění a další snížení kapitálu</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Články 34, 110 a 159 </w:t>
            </w:r>
            <w:r>
              <w:t>nařízení (EU) č. 575/2013</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Tuto položku uvádí pouze instituce používající přístup IRB.</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t>0140</w:t>
            </w:r>
          </w:p>
        </w:tc>
        <w:tc>
          <w:tcPr>
            <w:tcW w:w="7049" w:type="dxa"/>
          </w:tcPr>
          <w:p w14:paraId="2B17C910" w14:textId="77777777" w:rsidR="00CC7D2C" w:rsidRPr="002A677E" w:rsidRDefault="00CC7D2C" w:rsidP="00320EFD">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Celkové způsobilé očekávané ztráty </w:t>
            </w:r>
          </w:p>
          <w:p w14:paraId="4A89299A" w14:textId="77777777" w:rsidR="00CC7D2C" w:rsidRPr="002A677E" w:rsidRDefault="00CC7D2C" w:rsidP="00320EFD">
            <w:pPr>
              <w:pStyle w:val="InstructionsText"/>
            </w:pPr>
            <w:r>
              <w:t>Ustanovení čl. 158 odst. 5, 6 a 10 a článku 159 nařízení (EU) č. 575/2013</w:t>
            </w:r>
          </w:p>
          <w:p w14:paraId="0B0DDB08" w14:textId="77777777" w:rsidR="00CC7D2C" w:rsidRPr="002A677E" w:rsidRDefault="00CC7D2C" w:rsidP="00320EFD">
            <w:pPr>
              <w:pStyle w:val="InstructionsText"/>
            </w:pPr>
            <w:r>
              <w:t>Tuto položku uvádí pouze instituce používající přístup IRB. Vykazuje se pouze očekávaná ztráta související s expozicemi, u nichž nedošlo k selhání.</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 Přebytek (+) či nedostatek (−) v krytí očekávaných ztrát specifickými úpravami o úvěrové riziko u expozic, u nichž došlo k selhání, při přístupu IRB</w:t>
            </w:r>
          </w:p>
          <w:p w14:paraId="2528CE63" w14:textId="77777777" w:rsidR="00CC7D2C" w:rsidRPr="002A677E" w:rsidRDefault="00CC7D2C" w:rsidP="00320EFD">
            <w:pPr>
              <w:pStyle w:val="InstructionsText"/>
            </w:pPr>
            <w:r>
              <w:t>Ustanovení čl. 36 odst. 1 písm. d), čl. 62 písm. d), článků 158 a 159 nařízení (EU) č. 575/2013</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Tuto položku uvádí pouze instituce používající přístup IRB.</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Specifické úpravy z titulu úvěrového rizika a pozice, s nimiž se zachází obdobně</w:t>
            </w:r>
          </w:p>
          <w:p w14:paraId="1E7B4C7D" w14:textId="77777777" w:rsidR="00CC7D2C" w:rsidRPr="002A677E" w:rsidRDefault="00CC7D2C" w:rsidP="00320EFD">
            <w:pPr>
              <w:pStyle w:val="InstructionsText"/>
            </w:pPr>
            <w:r>
              <w:t>Článek 159 nařízení (EU) č. 575/2013</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Tuto položku uvádí pouze instituce používající přístup IRB.</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Celkové způsobilé očekávané ztráty</w:t>
            </w:r>
          </w:p>
          <w:p w14:paraId="30E1E0B6" w14:textId="77777777" w:rsidR="00CC7D2C" w:rsidRPr="002A677E" w:rsidRDefault="00CC7D2C" w:rsidP="00320EFD">
            <w:pPr>
              <w:pStyle w:val="InstructionsText"/>
              <w:rPr>
                <w:rStyle w:val="InstructionsTabelleberschrift"/>
                <w:rFonts w:ascii="Times New Roman" w:hAnsi="Times New Roman"/>
                <w:sz w:val="24"/>
              </w:rPr>
            </w:pPr>
            <w:r>
              <w:lastRenderedPageBreak/>
              <w:t>Ustanovení čl. 158 odst. 5, 6 a 10 a článku 159 nařízení (EU) č. 575/2013</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Tuto položku uvádí pouze instituce používající přístup IRB. Vykazuje se pouze očekávaná ztráta související s expozicemi, u nichž došlo k selhání.</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lastRenderedPageBreak/>
              <w:t>0160</w:t>
            </w:r>
          </w:p>
        </w:tc>
        <w:tc>
          <w:tcPr>
            <w:tcW w:w="7049" w:type="dxa"/>
          </w:tcPr>
          <w:p w14:paraId="1F6A90B7" w14:textId="77777777" w:rsidR="00CC7D2C" w:rsidRPr="002A677E" w:rsidRDefault="00CC7D2C" w:rsidP="00320EFD">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Objemy rizikově vážených expozic pro výpočet stropu přebytku rezerv způsobilého jako kapitál tier 2</w:t>
            </w:r>
          </w:p>
          <w:p w14:paraId="563E7C9E" w14:textId="77777777" w:rsidR="00CC7D2C" w:rsidRPr="002A677E" w:rsidRDefault="00CC7D2C" w:rsidP="00320EFD">
            <w:pPr>
              <w:pStyle w:val="InstructionsText"/>
            </w:pPr>
            <w:r>
              <w:t>Ustanovení čl. 62 písm. d) nařízení (EU) č. 575/2013</w:t>
            </w:r>
          </w:p>
          <w:p w14:paraId="363FA5D2" w14:textId="77777777" w:rsidR="00CC7D2C" w:rsidRPr="002A677E" w:rsidRDefault="00CC7D2C" w:rsidP="00320EFD">
            <w:pPr>
              <w:pStyle w:val="InstructionsText"/>
            </w:pPr>
            <w:r>
              <w:t xml:space="preserve">U institucí </w:t>
            </w:r>
            <w:r>
              <w:rPr>
                <w:rStyle w:val="FormatvorlageInstructionsTabelleText"/>
                <w:rFonts w:ascii="Times New Roman" w:hAnsi="Times New Roman"/>
                <w:sz w:val="24"/>
              </w:rPr>
              <w:t>podle</w:t>
            </w:r>
            <w:r>
              <w:t xml:space="preserve"> čl. 62 písm. d) nařízení (EU) č. 575/2013 používajících přístup IRB je přebytek rezerv (ke krytí očekávaných ztrát), který lze zahrnout do kapitálu tier 2, omezen stropem ve výši 0,6 % objemů rizikově vážených expozic vypočítaných podle přístupu IRB.</w:t>
            </w:r>
          </w:p>
          <w:p w14:paraId="42C93CC2" w14:textId="77777777" w:rsidR="00CC7D2C" w:rsidRPr="002A677E" w:rsidRDefault="00CC7D2C" w:rsidP="00320EFD">
            <w:pPr>
              <w:pStyle w:val="InstructionsText"/>
            </w:pPr>
            <w:r>
              <w:t>Údaj, který má být vykázán v této položce, představuje objemy rizikově vážených expozic (tedy nikoli částku vynásobenou hodnotou 0,6 %), jež jsou základem pro výpočet stropu.</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t>0170</w:t>
            </w:r>
          </w:p>
        </w:tc>
        <w:tc>
          <w:tcPr>
            <w:tcW w:w="7049" w:type="dxa"/>
          </w:tcPr>
          <w:p w14:paraId="2869B203" w14:textId="77777777" w:rsidR="00CC7D2C" w:rsidRPr="002A677E" w:rsidRDefault="00CC7D2C" w:rsidP="00320EFD">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Celkové hrubé rezervy způsobilé k zařazení do kapitálu tier 2</w:t>
            </w:r>
          </w:p>
          <w:p w14:paraId="79DEE159" w14:textId="77777777" w:rsidR="00CC7D2C" w:rsidRPr="002A677E" w:rsidRDefault="00CC7D2C" w:rsidP="00320EFD">
            <w:pPr>
              <w:pStyle w:val="InstructionsText"/>
            </w:pPr>
            <w:r>
              <w:t>Ustanovení čl. 62 písm. c) nařízení (EU) č. 575/2013</w:t>
            </w:r>
          </w:p>
          <w:p w14:paraId="7677FF60" w14:textId="77777777" w:rsidR="00CC7D2C" w:rsidRPr="002A677E" w:rsidRDefault="00CC7D2C" w:rsidP="00320EFD">
            <w:pPr>
              <w:pStyle w:val="InstructionsText"/>
            </w:pPr>
            <w:r>
              <w:t>V této položce se uvádí obecné úpravy o úvěrové riziko, které lze zahrnout do kapitálu tier 2, před stanovením stropu.</w:t>
            </w:r>
          </w:p>
          <w:p w14:paraId="748D0361" w14:textId="77777777" w:rsidR="00CC7D2C" w:rsidRPr="002A677E" w:rsidRDefault="00CC7D2C" w:rsidP="00320EFD">
            <w:pPr>
              <w:pStyle w:val="InstructionsText"/>
            </w:pPr>
            <w:r>
              <w:t>Částka, která má být vykázána, se uvádí bez zohlednění daňových účinků.</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t>0180</w:t>
            </w:r>
          </w:p>
        </w:tc>
        <w:tc>
          <w:tcPr>
            <w:tcW w:w="7049" w:type="dxa"/>
          </w:tcPr>
          <w:p w14:paraId="33B7FC74" w14:textId="77777777" w:rsidR="00CC7D2C" w:rsidRPr="002A677E" w:rsidRDefault="00CC7D2C" w:rsidP="00320EFD">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Objemy rizikově vážených expozic pro výpočet stropu rezervy způsobilé jako kapitál tier 2</w:t>
            </w:r>
          </w:p>
          <w:p w14:paraId="345CC1D6" w14:textId="77777777" w:rsidR="00CC7D2C" w:rsidRPr="002A677E" w:rsidRDefault="00CC7D2C" w:rsidP="00320EFD">
            <w:pPr>
              <w:pStyle w:val="InstructionsText"/>
            </w:pPr>
            <w:r>
              <w:t>Ustanovení čl. 62 písm. c) nařízení (EU) č. 575/2013</w:t>
            </w:r>
          </w:p>
          <w:p w14:paraId="65850475" w14:textId="77777777" w:rsidR="00CC7D2C" w:rsidRPr="002A677E" w:rsidRDefault="00CC7D2C" w:rsidP="00320EFD">
            <w:pPr>
              <w:pStyle w:val="InstructionsText"/>
            </w:pPr>
            <w:r>
              <w:t>Podle čl. 62 písm. c) nařízení (EU) č. 575/2013 jsou úpravy o úvěrové riziko, které lze zahrnout do kapitálu tier 2, omezeny stropem ve výši 1,25 % rizikově vážených expozic.</w:t>
            </w:r>
          </w:p>
          <w:p w14:paraId="3B08F4EA" w14:textId="77777777" w:rsidR="00CC7D2C" w:rsidRPr="002A677E" w:rsidRDefault="00CC7D2C" w:rsidP="00320EFD">
            <w:pPr>
              <w:pStyle w:val="InstructionsText"/>
            </w:pPr>
            <w:r>
              <w:t>Údaj, který má být vykázán v této položce, představuje objemy rizikově vážených expozic (tedy nikoli částku vynásobenou hodnotou 1,25 %), jež jsou základem pro výpočet stropu.</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t>0190</w:t>
            </w:r>
          </w:p>
        </w:tc>
        <w:tc>
          <w:tcPr>
            <w:tcW w:w="7049" w:type="dxa"/>
          </w:tcPr>
          <w:p w14:paraId="70F5FE0C" w14:textId="77777777" w:rsidR="00CC7D2C" w:rsidRPr="002A677E" w:rsidRDefault="00CC7D2C" w:rsidP="00320EFD">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Prahová hodnota neodečitatelná od kapitálových investic do subjektů finančního sektoru, v nichž instituce nemá významnou investici</w:t>
            </w:r>
          </w:p>
          <w:p w14:paraId="281FF318" w14:textId="77777777" w:rsidR="00CC7D2C" w:rsidRPr="002A677E" w:rsidRDefault="00CC7D2C" w:rsidP="00320EFD">
            <w:pPr>
              <w:pStyle w:val="InstructionsText"/>
            </w:pPr>
            <w:r>
              <w:t>Ustanovení čl. 46 odst. 1 písm. a) nařízení (EU) č. 575/2013</w:t>
            </w:r>
          </w:p>
          <w:p w14:paraId="6CBDA660" w14:textId="77777777" w:rsidR="00CC7D2C" w:rsidRPr="002A677E" w:rsidRDefault="00CC7D2C" w:rsidP="00320EFD">
            <w:pPr>
              <w:pStyle w:val="InstructionsText"/>
            </w:pPr>
            <w:r>
              <w:t>Tato položka obsahuje prahovou hodnotu, do jejíž výše nelze odečíst kapitálové investice do subjektů finančního sektoru, v nichž instituce nemá významnou investici. Částka je získána součtem všech položek, které jsou základem prahové hodnoty, a vynásobením tohoto součtu 10 %.</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t>0200</w:t>
            </w:r>
          </w:p>
        </w:tc>
        <w:tc>
          <w:tcPr>
            <w:tcW w:w="7049" w:type="dxa"/>
          </w:tcPr>
          <w:p w14:paraId="076C1F3B" w14:textId="77777777" w:rsidR="00CC7D2C" w:rsidRPr="002A677E" w:rsidRDefault="00CC7D2C" w:rsidP="00320EFD">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Prahová hodnota</w:t>
            </w:r>
            <w:r>
              <w:t xml:space="preserve"> </w:t>
            </w:r>
            <w:r>
              <w:rPr>
                <w:rStyle w:val="InstructionsTabelleberschrift"/>
                <w:rFonts w:ascii="Times New Roman" w:hAnsi="Times New Roman"/>
                <w:sz w:val="24"/>
              </w:rPr>
              <w:t xml:space="preserve">kmenového kapitálu tier 1 ve výši 10 % </w:t>
            </w:r>
          </w:p>
          <w:p w14:paraId="59F6CAC3" w14:textId="77777777" w:rsidR="00CC7D2C" w:rsidRPr="002A677E" w:rsidRDefault="00CC7D2C" w:rsidP="00320EFD">
            <w:pPr>
              <w:pStyle w:val="InstructionsText"/>
            </w:pPr>
            <w:r>
              <w:lastRenderedPageBreak/>
              <w:t>Ustanovení čl. 48 odst. 1 písm. a) a b) nařízení (EU) č. 575/2013</w:t>
            </w:r>
          </w:p>
          <w:p w14:paraId="6BCD7ABF" w14:textId="77777777" w:rsidR="00CC7D2C" w:rsidRPr="002A677E" w:rsidRDefault="00CC7D2C" w:rsidP="00320EFD">
            <w:pPr>
              <w:pStyle w:val="InstructionsText"/>
            </w:pPr>
            <w:r>
              <w:t>V této položce se uvádí 10 % prahová hodnota pro kapitálové investice do subjektů finančního sektoru, v nichž má instituce významnou investici, a pro odložené daňové pohledávky, které jsou závislé na budoucím zisku a vyplývají z přechodných rozdílů.</w:t>
            </w:r>
          </w:p>
          <w:p w14:paraId="44EADE68" w14:textId="77777777" w:rsidR="00CC7D2C" w:rsidRPr="002A677E" w:rsidRDefault="00CC7D2C" w:rsidP="00320EFD">
            <w:pPr>
              <w:pStyle w:val="InstructionsText"/>
            </w:pPr>
            <w:r>
              <w:t>Částka je získána součtem všech položek, které jsou základem prahové hodnoty, a vynásobením tohoto součtu 10 %.</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lastRenderedPageBreak/>
              <w:t>0210</w:t>
            </w:r>
          </w:p>
        </w:tc>
        <w:tc>
          <w:tcPr>
            <w:tcW w:w="7049" w:type="dxa"/>
          </w:tcPr>
          <w:p w14:paraId="10ED2189" w14:textId="77777777" w:rsidR="00CC7D2C" w:rsidRPr="002A677E" w:rsidRDefault="00CC7D2C" w:rsidP="00320EFD">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Prahová hodnota kmenového kapitálu tier 1 ve výši 17,65 % </w:t>
            </w:r>
          </w:p>
          <w:p w14:paraId="742C492D" w14:textId="77777777" w:rsidR="00CC7D2C" w:rsidRPr="002A677E" w:rsidRDefault="00CC7D2C" w:rsidP="00320EFD">
            <w:pPr>
              <w:pStyle w:val="InstructionsText"/>
            </w:pPr>
            <w:r>
              <w:t>Ustanovení čl. 48 odst. 1 nařízení (EU) č. 575/2013</w:t>
            </w:r>
          </w:p>
          <w:p w14:paraId="62003D54" w14:textId="77777777" w:rsidR="00CC7D2C" w:rsidRPr="002A677E" w:rsidRDefault="00CC7D2C" w:rsidP="00320EFD">
            <w:pPr>
              <w:pStyle w:val="InstructionsText"/>
            </w:pPr>
            <w:r>
              <w:t>V této položce se uvádí 17,65 % prahová hodnota pro kapitálové investice do subjektů finančního sektoru, v nichž má instituce významnou investici, a pro odložené daňové pohledávky, které jsou závislé na budoucím zisku a vyplývají z přechodných rozdílů, přičemž tato prahová hodnota se použije po uplatnění 10 % prahové hodnoty.</w:t>
            </w:r>
          </w:p>
          <w:p w14:paraId="3E3DB4A1" w14:textId="77777777" w:rsidR="00CC7D2C" w:rsidRPr="002A677E" w:rsidRDefault="00CC7D2C" w:rsidP="00320EFD">
            <w:pPr>
              <w:pStyle w:val="InstructionsText"/>
            </w:pPr>
            <w:r>
              <w:t>Prahová hodnota se musí vypočítat tak, aby zjištěná hodnota těchto dvou položek nebyla vyšší než 15 % konečného kmenového kapitálu tier 1, tj. kmenového kapitálu tier 1 vypočteného po všech odpočtech a bez zohlednění úprav v důsledku přechodných ustanovení.</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Způsobilý kapitál pro účely kvalifikovaných účastí mimo finanční sektor</w:t>
            </w:r>
          </w:p>
          <w:p w14:paraId="06E4594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Ustanovení čl. 4 odst. 1 bodu 71 písm. a) </w:t>
            </w:r>
            <w:r>
              <w:t>nařízení (EU) č. 575/2013</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0230</w:t>
            </w:r>
          </w:p>
        </w:tc>
        <w:tc>
          <w:tcPr>
            <w:tcW w:w="7049" w:type="dxa"/>
          </w:tcPr>
          <w:p w14:paraId="721AB6E1" w14:textId="77777777" w:rsidR="00CC7D2C" w:rsidRPr="002A677E" w:rsidRDefault="00CC7D2C" w:rsidP="00320EFD">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Investice do kmenového kapitálu tier 1 subjektů finančního sektoru, v nichž instituce nemá významnou investici, očištěné o krátké pozice</w:t>
            </w:r>
          </w:p>
          <w:p w14:paraId="05E6C89B" w14:textId="77777777" w:rsidR="00CC7D2C" w:rsidRPr="002A677E" w:rsidRDefault="00CC7D2C" w:rsidP="00320EFD">
            <w:pPr>
              <w:pStyle w:val="InstructionsText"/>
            </w:pPr>
            <w:r>
              <w:t>Články 44, 45, 46 a 49 nařízení (EU) č. 575/2013</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t>0240</w:t>
            </w:r>
          </w:p>
        </w:tc>
        <w:tc>
          <w:tcPr>
            <w:tcW w:w="7049" w:type="dxa"/>
          </w:tcPr>
          <w:p w14:paraId="0FAD571C" w14:textId="77777777" w:rsidR="00CC7D2C" w:rsidRPr="002A677E" w:rsidRDefault="00CC7D2C" w:rsidP="00320EFD">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Přímé investice do kmenového kapitálu tier 1 subjektů finančního sektoru, v nichž instituce nemá významnou investici</w:t>
            </w:r>
          </w:p>
          <w:p w14:paraId="07F396F8" w14:textId="77777777" w:rsidR="00CC7D2C" w:rsidRPr="002A677E" w:rsidRDefault="00CC7D2C" w:rsidP="00320EFD">
            <w:pPr>
              <w:pStyle w:val="InstructionsText"/>
            </w:pPr>
            <w:r>
              <w:t>Články 44, 45, 46 a 49 nařízení (EU) č. 575/2013</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0250</w:t>
            </w:r>
          </w:p>
        </w:tc>
        <w:tc>
          <w:tcPr>
            <w:tcW w:w="7049" w:type="dxa"/>
          </w:tcPr>
          <w:p w14:paraId="1F770E7B" w14:textId="77777777" w:rsidR="00CC7D2C" w:rsidRPr="002A677E" w:rsidRDefault="00CC7D2C" w:rsidP="00320EFD">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Hrubé přímé kapitálové investice do nástrojů zahrnovaných do kmenového kapitálu tier 1 subjektů finančního sektoru, v nichž instituce nemá významnou investici</w:t>
            </w:r>
          </w:p>
          <w:p w14:paraId="35734353" w14:textId="77777777" w:rsidR="00CC7D2C" w:rsidRPr="002A677E" w:rsidRDefault="00CC7D2C" w:rsidP="00320EFD">
            <w:pPr>
              <w:pStyle w:val="InstructionsText"/>
            </w:pPr>
            <w:r>
              <w:t>Články 44, 46 a 49 nařízení (EU) č. 575/2013</w:t>
            </w:r>
          </w:p>
          <w:p w14:paraId="21EA9B4D" w14:textId="77777777" w:rsidR="00CC7D2C" w:rsidRPr="002A677E" w:rsidRDefault="00CC7D2C" w:rsidP="00320EFD">
            <w:pPr>
              <w:pStyle w:val="InstructionsText"/>
            </w:pPr>
            <w:r>
              <w:t>Přímé kapitálové investice do nástrojů zahrnovaných do kmenového kapitálu tier 1 subjektů finančního sektoru, v nichž instituce nemá významnou investici, s výjimkou:</w:t>
            </w:r>
          </w:p>
          <w:p w14:paraId="40548BC6" w14:textId="77777777" w:rsidR="00CC7D2C" w:rsidRPr="002A677E" w:rsidRDefault="00CC7D2C" w:rsidP="00320EFD">
            <w:pPr>
              <w:pStyle w:val="InstructionsText"/>
            </w:pPr>
            <w:r>
              <w:t>a)</w:t>
            </w:r>
            <w:r>
              <w:tab/>
              <w:t xml:space="preserve">pozic z upisování držených po dobu pěti nebo méně pracovních dnů; </w:t>
            </w:r>
          </w:p>
          <w:p w14:paraId="06830A9E" w14:textId="77777777" w:rsidR="00CC7D2C" w:rsidRPr="002A677E" w:rsidRDefault="00CC7D2C" w:rsidP="00320EFD">
            <w:pPr>
              <w:pStyle w:val="InstructionsText"/>
            </w:pPr>
            <w:r>
              <w:lastRenderedPageBreak/>
              <w:t>b)</w:t>
            </w:r>
            <w:r>
              <w:tab/>
              <w:t xml:space="preserve">částek souvisejících s investicemi, na něž se vztahuje některá z alternativ uvedených v článku 49, a </w:t>
            </w:r>
          </w:p>
          <w:p w14:paraId="6C3B0126" w14:textId="77777777" w:rsidR="00CC7D2C" w:rsidRPr="002A677E" w:rsidRDefault="00CC7D2C" w:rsidP="00320EFD">
            <w:pPr>
              <w:pStyle w:val="InstructionsText"/>
            </w:pPr>
            <w:r>
              <w:t>c)</w:t>
            </w:r>
            <w:r>
              <w:tab/>
              <w:t>kapitálových investic, s nimiž se zachází jako se vzájemnými účastmi podle čl. 36 odst. 1 písm. g) nařízení (EU) č. 575/2013.</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lastRenderedPageBreak/>
              <w:t>0260</w:t>
            </w:r>
          </w:p>
        </w:tc>
        <w:tc>
          <w:tcPr>
            <w:tcW w:w="7049" w:type="dxa"/>
          </w:tcPr>
          <w:p w14:paraId="205AF52F" w14:textId="77777777" w:rsidR="00CC7D2C" w:rsidRPr="002A677E" w:rsidRDefault="00CC7D2C" w:rsidP="00320EFD">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Krátké pozice s povolenou kompenzací vztahující se k hrubým přímým kapitálovým investicím uvedeným výše</w:t>
            </w:r>
          </w:p>
          <w:p w14:paraId="5C7CD820" w14:textId="77777777" w:rsidR="00CC7D2C" w:rsidRPr="002A677E" w:rsidRDefault="00CC7D2C" w:rsidP="00320EFD">
            <w:pPr>
              <w:pStyle w:val="InstructionsText"/>
            </w:pPr>
            <w:r>
              <w:t>Článek 45 nařízení (EU) č. 575/2013</w:t>
            </w:r>
          </w:p>
          <w:p w14:paraId="3C7C2B7A" w14:textId="77777777" w:rsidR="00CC7D2C" w:rsidRPr="002A677E" w:rsidRDefault="00CC7D2C" w:rsidP="00320EFD">
            <w:pPr>
              <w:pStyle w:val="InstructionsText"/>
            </w:pPr>
            <w:r>
              <w:t>Ustanovení čl. 45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t>0270</w:t>
            </w:r>
          </w:p>
        </w:tc>
        <w:tc>
          <w:tcPr>
            <w:tcW w:w="7049" w:type="dxa"/>
          </w:tcPr>
          <w:p w14:paraId="41725CD8" w14:textId="77777777" w:rsidR="00CC7D2C" w:rsidRPr="002A677E" w:rsidRDefault="00CC7D2C" w:rsidP="00320EFD">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Nepřímé kapitálové investice do nástrojů zahrnovaných do kmenového kapitálu tier 1 subjektů finančního sektoru, v nichž instituce nemá významnou investici</w:t>
            </w:r>
          </w:p>
          <w:p w14:paraId="5B60A6DB" w14:textId="77777777" w:rsidR="00CC7D2C" w:rsidRPr="002A677E" w:rsidRDefault="00CC7D2C" w:rsidP="00320EFD">
            <w:pPr>
              <w:pStyle w:val="InstructionsText"/>
            </w:pPr>
            <w:r>
              <w:t>Ustanovení čl. 4 odst. 1 bodu 114 a článků 44 a 45 nařízení (EU) č. 575/2013</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t>0280</w:t>
            </w:r>
          </w:p>
        </w:tc>
        <w:tc>
          <w:tcPr>
            <w:tcW w:w="7049" w:type="dxa"/>
          </w:tcPr>
          <w:p w14:paraId="30ADD00A" w14:textId="77777777" w:rsidR="00CC7D2C" w:rsidRPr="002A677E" w:rsidRDefault="00CC7D2C" w:rsidP="00320EFD">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Hrubé nepřímé kapitálové investice do nástrojů zahrnovaných do kmenového kapitálu tier 1 subjektů finančního sektoru, v nichž instituce nemá významnou investici</w:t>
            </w:r>
          </w:p>
          <w:p w14:paraId="1712D6BE" w14:textId="77777777" w:rsidR="00CC7D2C" w:rsidRPr="002A677E" w:rsidRDefault="00CC7D2C" w:rsidP="00320EFD">
            <w:pPr>
              <w:pStyle w:val="InstructionsText"/>
            </w:pPr>
            <w:r>
              <w:t>Ustanovení čl. 4 odst. 1 bodu 114 a článků 44 a 45 nařízení (EU) č. 575/2013</w:t>
            </w:r>
          </w:p>
          <w:p w14:paraId="48C4F8F6" w14:textId="77777777" w:rsidR="00CC7D2C" w:rsidRPr="002A677E" w:rsidRDefault="00CC7D2C" w:rsidP="00320EFD">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478FC936" w14:textId="77777777" w:rsidR="00CC7D2C" w:rsidRPr="002A677E" w:rsidRDefault="00CC7D2C" w:rsidP="00320EFD">
            <w:pPr>
              <w:pStyle w:val="InstructionsText"/>
            </w:pPr>
            <w:r>
              <w:t>Kapitálové investice, s nimiž se zachází jako se vzájemnými účastmi podle čl. 36 odst. 1 písm. g) nařízení (EU) č. 575/2013, se zde nezohledňují.</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t>0290</w:t>
            </w:r>
          </w:p>
        </w:tc>
        <w:tc>
          <w:tcPr>
            <w:tcW w:w="7049" w:type="dxa"/>
          </w:tcPr>
          <w:p w14:paraId="52B39F7D" w14:textId="77777777" w:rsidR="00CC7D2C" w:rsidRPr="002A677E" w:rsidRDefault="00CC7D2C" w:rsidP="00320EFD">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Krátké pozice s povolenou kompenzací vztahující se k hrubým nepřímým kapitálovým investicím uvedeným výše</w:t>
            </w:r>
          </w:p>
          <w:p w14:paraId="4FFA5E51" w14:textId="77777777" w:rsidR="00CC7D2C" w:rsidRPr="002A677E" w:rsidRDefault="00CC7D2C" w:rsidP="00320EFD">
            <w:pPr>
              <w:pStyle w:val="InstructionsText"/>
            </w:pPr>
            <w:r>
              <w:t>Ustanovení čl. 4 odst. 1 bodu 114 a článku 45 nařízení (EU) č. 575/2013</w:t>
            </w:r>
          </w:p>
          <w:p w14:paraId="53013672" w14:textId="77777777" w:rsidR="00CC7D2C" w:rsidRPr="002A677E" w:rsidRDefault="00CC7D2C" w:rsidP="00320EFD">
            <w:pPr>
              <w:pStyle w:val="InstructionsText"/>
            </w:pPr>
            <w:r>
              <w:t>Ustanovení čl. 45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Syntetické kapitálové investice do nástrojů zahrnovaných do kmenového kapitálu tier 1 subjektů finančního sektoru, v nichž instituce nemá významnou investici</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Ustanovení čl. 4 odst. 1 bodu 126 a článků 44 a 45 </w:t>
            </w:r>
            <w:r>
              <w:t>nařízení (EU) č. 575/2013</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lastRenderedPageBreak/>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Hrubé syntetické kapitálové investice do nástrojů zahrnovaných do kmenového kapitálu tier 1 subjektů finančního sektoru, v nichž instituce nemá významnou investici</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4 odst. 1 bodu 126 a článků 44 a 45 </w:t>
            </w:r>
            <w:r>
              <w:t>nařízení (EU) č. 575/2013</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Krátké pozice s povolenou kompenzací vztahující se k hrubým syntetickým kapitálovým investicím uvedeným výše</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4 odst. 1 bodu 126 a článku 45 </w:t>
            </w:r>
            <w:r>
              <w:t>nařízení (EU) č. 575/2013</w:t>
            </w:r>
            <w:r>
              <w:rPr>
                <w:rStyle w:val="InstructionsTabelleberschrift"/>
                <w:rFonts w:ascii="Times New Roman" w:hAnsi="Times New Roman"/>
                <w:b w:val="0"/>
                <w:sz w:val="24"/>
                <w:u w:val="none"/>
              </w:rPr>
              <w:t>.</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t>Ustanovení čl. 45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Investice do vedlejšího kapitálu tier 1 subjektů finančního sektoru, v nichž instituce nemá významnou investici, očištěné o krátké pozice</w:t>
            </w:r>
          </w:p>
          <w:p w14:paraId="2446C324" w14:textId="77777777" w:rsidR="00CC7D2C" w:rsidRPr="002A677E" w:rsidRDefault="00CC7D2C" w:rsidP="00320EFD">
            <w:pPr>
              <w:pStyle w:val="InstructionsText"/>
            </w:pPr>
            <w:r>
              <w:t>Články 58, 59 a 60 nařízení (EU) č. 575/2013</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0310</w:t>
            </w:r>
          </w:p>
        </w:tc>
        <w:tc>
          <w:tcPr>
            <w:tcW w:w="7049" w:type="dxa"/>
          </w:tcPr>
          <w:p w14:paraId="652A887A" w14:textId="77777777" w:rsidR="00CC7D2C" w:rsidRPr="002A677E" w:rsidRDefault="00CC7D2C" w:rsidP="00320EFD">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Přímé kapitálové investice do nástrojů zahrnovaných do vedlejšího kapitálu tier 1 subjektů finančního sektoru, v nichž instituce nemá významnou investici</w:t>
            </w:r>
          </w:p>
          <w:p w14:paraId="2BC29626" w14:textId="77777777" w:rsidR="00CC7D2C" w:rsidRPr="002A677E" w:rsidRDefault="00CC7D2C" w:rsidP="00320EFD">
            <w:pPr>
              <w:pStyle w:val="InstructionsText"/>
            </w:pPr>
            <w:r>
              <w:t>Články 58, 59 a čl. 60 odst. 2 nařízení (EU) č. 575/2013</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t>0320</w:t>
            </w:r>
          </w:p>
        </w:tc>
        <w:tc>
          <w:tcPr>
            <w:tcW w:w="7049" w:type="dxa"/>
          </w:tcPr>
          <w:p w14:paraId="086716D9" w14:textId="77777777" w:rsidR="00CC7D2C" w:rsidRPr="002A677E" w:rsidRDefault="00CC7D2C" w:rsidP="00320EFD">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Hrubé přímé kapitálové investice do nástrojů zahrnovaných do vedlejšího kapitálu tier 1 subjektů finančního sektoru, v nichž instituce nemá významnou investici</w:t>
            </w:r>
          </w:p>
          <w:p w14:paraId="75E43435" w14:textId="77777777" w:rsidR="00CC7D2C" w:rsidRPr="002A677E" w:rsidRDefault="00CC7D2C" w:rsidP="00320EFD">
            <w:pPr>
              <w:pStyle w:val="InstructionsText"/>
            </w:pPr>
            <w:r>
              <w:t>Článek 58 a čl. 60 odst. 2 nařízení (EU) č. 575/2013</w:t>
            </w:r>
          </w:p>
          <w:p w14:paraId="4EB3C9FE" w14:textId="77777777" w:rsidR="00CC7D2C" w:rsidRPr="002A677E" w:rsidRDefault="00CC7D2C" w:rsidP="00320EFD">
            <w:pPr>
              <w:pStyle w:val="InstructionsText"/>
            </w:pPr>
            <w:r>
              <w:t>Přímé kapitálové investice do nástrojů zahrnovaných do vedlejšího kapitálu tier 1 subjektů finančního sektoru, v nichž instituce nemá významnou investici, s výjimkou:</w:t>
            </w:r>
          </w:p>
          <w:p w14:paraId="6258EF1C" w14:textId="77777777" w:rsidR="00CC7D2C" w:rsidRPr="002A677E" w:rsidRDefault="00CC7D2C" w:rsidP="00320EFD">
            <w:pPr>
              <w:pStyle w:val="InstructionsText"/>
            </w:pPr>
            <w:r>
              <w:t>a)</w:t>
            </w:r>
            <w:r>
              <w:tab/>
              <w:t xml:space="preserve">pozic z upisování držených po dobu pěti nebo méně pracovních dnů; a </w:t>
            </w:r>
          </w:p>
          <w:p w14:paraId="08D9FD36" w14:textId="77777777" w:rsidR="00CC7D2C" w:rsidRPr="002A677E" w:rsidRDefault="00CC7D2C" w:rsidP="00320EFD">
            <w:pPr>
              <w:pStyle w:val="InstructionsText"/>
            </w:pPr>
            <w:r>
              <w:t>b)</w:t>
            </w:r>
            <w:r>
              <w:tab/>
              <w:t>Kapitálové investice, s nimiž se zachází jako se vzájemnými účastmi podle čl. 56 písm. b) nařízení (EU) č. 575/2013, se zde nezohledňují.</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t>0330</w:t>
            </w:r>
          </w:p>
        </w:tc>
        <w:tc>
          <w:tcPr>
            <w:tcW w:w="7049" w:type="dxa"/>
          </w:tcPr>
          <w:p w14:paraId="5D44305F" w14:textId="77777777" w:rsidR="00CC7D2C" w:rsidRPr="002A677E" w:rsidRDefault="00CC7D2C" w:rsidP="00320EFD">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Krátké pozice s povolenou kompenzací vztahující se k hrubým přímým kapitálovým investicím uvedeným výše</w:t>
            </w:r>
          </w:p>
          <w:p w14:paraId="1C009EDB" w14:textId="77777777" w:rsidR="00CC7D2C" w:rsidRPr="002A677E" w:rsidRDefault="00CC7D2C" w:rsidP="00320EFD">
            <w:pPr>
              <w:pStyle w:val="InstructionsText"/>
            </w:pPr>
            <w:r>
              <w:t>Článek 59 nařízení (EU) č. 575/2013</w:t>
            </w:r>
          </w:p>
          <w:p w14:paraId="5EDAF213" w14:textId="77777777" w:rsidR="00CC7D2C" w:rsidRPr="002A677E" w:rsidRDefault="00CC7D2C" w:rsidP="00320EFD">
            <w:pPr>
              <w:pStyle w:val="InstructionsText"/>
            </w:pPr>
            <w:r>
              <w:t xml:space="preserve">Ustanovení čl. 59 písm. a) nařízení (EU) č. 575/2013 povoluje kompenzaci krátkých pozic v téže podkladové expozici za </w:t>
            </w:r>
            <w:r>
              <w:lastRenderedPageBreak/>
              <w:t>předpokladu, že datum splatnosti krátké pozice je buď stejné nebo pozdější než datum splatnosti dlouhé pozice, nebo v případě, že zbytková splatnost krátké pozice činí nejméně jeden rok.</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lastRenderedPageBreak/>
              <w:t>0340</w:t>
            </w:r>
          </w:p>
        </w:tc>
        <w:tc>
          <w:tcPr>
            <w:tcW w:w="7049" w:type="dxa"/>
          </w:tcPr>
          <w:p w14:paraId="12834DD7" w14:textId="77777777" w:rsidR="00CC7D2C" w:rsidRPr="002A677E" w:rsidRDefault="00CC7D2C" w:rsidP="00320EFD">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Nepřímé kapitálové investice do nástrojů zahrnovaných do vedlejšího kapitálu tier 1 subjektů finančního sektoru, v nichž instituce nemá významnou investici</w:t>
            </w:r>
          </w:p>
          <w:p w14:paraId="524DE4E1" w14:textId="77777777" w:rsidR="00CC7D2C" w:rsidRPr="002A677E" w:rsidRDefault="00CC7D2C" w:rsidP="00320EFD">
            <w:pPr>
              <w:pStyle w:val="InstructionsText"/>
            </w:pPr>
            <w:r>
              <w:t>Ustanovení čl. 4 odst. 1 bodu 114 a článků 58 a 59 nařízení (EU) č. 575/2013</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0350</w:t>
            </w:r>
          </w:p>
        </w:tc>
        <w:tc>
          <w:tcPr>
            <w:tcW w:w="7049" w:type="dxa"/>
          </w:tcPr>
          <w:p w14:paraId="3C475B52" w14:textId="77777777" w:rsidR="00CC7D2C" w:rsidRPr="002A677E" w:rsidRDefault="00CC7D2C" w:rsidP="00320EFD">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Hrubé nepřímé kapitálové investice do nástrojů zahrnovaných do vedlejšího kapitálu tier 1 subjektů finančního sektoru, v nichž instituce nemá významnou investici</w:t>
            </w:r>
          </w:p>
          <w:p w14:paraId="18873CD2" w14:textId="77777777" w:rsidR="00CC7D2C" w:rsidRPr="002A677E" w:rsidRDefault="00CC7D2C" w:rsidP="00320EFD">
            <w:pPr>
              <w:pStyle w:val="InstructionsText"/>
            </w:pPr>
            <w:r>
              <w:t>Ustanovení čl. 4 odst. 1 bodu 114 a článků 58 a 59 nařízení (EU) č. 575/2013</w:t>
            </w:r>
          </w:p>
          <w:p w14:paraId="17350A93" w14:textId="77777777" w:rsidR="00CC7D2C" w:rsidRPr="002A677E" w:rsidRDefault="00CC7D2C" w:rsidP="00320EFD">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68E36B69" w14:textId="77777777" w:rsidR="00CC7D2C" w:rsidRPr="002A677E" w:rsidRDefault="00CC7D2C" w:rsidP="00320EFD">
            <w:pPr>
              <w:pStyle w:val="InstructionsText"/>
            </w:pPr>
            <w:r>
              <w:t>Kapitálové investice, s nimiž se zachází jako se vzájemnými účastmi podle čl. 56 písm. b) nařízení (EU) č. 575/2013, se zde nezohledňují.</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t>0360</w:t>
            </w:r>
          </w:p>
        </w:tc>
        <w:tc>
          <w:tcPr>
            <w:tcW w:w="7049" w:type="dxa"/>
          </w:tcPr>
          <w:p w14:paraId="1C759B69" w14:textId="77777777" w:rsidR="00CC7D2C" w:rsidRPr="002A677E" w:rsidRDefault="00CC7D2C" w:rsidP="00320EFD">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Krátké pozice s povolenou kompenzací vztahující se k hrubým nepřímým kapitálovým investicím uvedeným výše</w:t>
            </w:r>
          </w:p>
          <w:p w14:paraId="66D7BED8" w14:textId="77777777" w:rsidR="00CC7D2C" w:rsidRPr="002A677E" w:rsidRDefault="00CC7D2C" w:rsidP="00320EFD">
            <w:pPr>
              <w:pStyle w:val="InstructionsText"/>
            </w:pPr>
            <w:r>
              <w:t>Ustanovení čl. 4 odst. 1 bodu 114 a článku 59 nařízení (EU) č. 575/2013</w:t>
            </w:r>
          </w:p>
          <w:p w14:paraId="7DC14B0B" w14:textId="77777777" w:rsidR="00CC7D2C" w:rsidRPr="002A677E" w:rsidRDefault="00CC7D2C" w:rsidP="00320EFD">
            <w:pPr>
              <w:pStyle w:val="InstructionsText"/>
            </w:pPr>
            <w:r>
              <w:t>Ustanovení čl. 59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t>0361</w:t>
            </w:r>
          </w:p>
        </w:tc>
        <w:tc>
          <w:tcPr>
            <w:tcW w:w="7049" w:type="dxa"/>
            <w:vAlign w:val="center"/>
          </w:tcPr>
          <w:p w14:paraId="036B6DB1" w14:textId="77777777" w:rsidR="00CC7D2C" w:rsidRPr="002A677E" w:rsidRDefault="00CC7D2C" w:rsidP="00320EFD">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Syntetické kapitálové investice do nástrojů zahrnovaných do vedlejšího kapitálu tier 1 subjektů finančního sektoru, v nichž instituce nemá významnou investici</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Ustanovení čl. 4 odst. 1 bodu 126 a článků 58 a 59 nařízení (EU) č. 575/2013</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t>0362</w:t>
            </w:r>
          </w:p>
        </w:tc>
        <w:tc>
          <w:tcPr>
            <w:tcW w:w="7049" w:type="dxa"/>
            <w:vAlign w:val="center"/>
          </w:tcPr>
          <w:p w14:paraId="1AB1D048" w14:textId="77777777" w:rsidR="00CC7D2C" w:rsidRPr="002A677E" w:rsidRDefault="00CC7D2C" w:rsidP="00320EFD">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Hrubé syntetické kapitálové investice do nástrojů zahrnovaných do vedlejšího kapitálu tier 1 subjektů finančního sektoru, v nichž instituce nemá významnou investici</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Ustanovení čl. 4 odst. 1 bodu 126 a článků 58 a 59 nařízení (EU) č. 575/2013</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lastRenderedPageBreak/>
              <w:t>0363</w:t>
            </w:r>
          </w:p>
        </w:tc>
        <w:tc>
          <w:tcPr>
            <w:tcW w:w="7049" w:type="dxa"/>
            <w:vAlign w:val="center"/>
          </w:tcPr>
          <w:p w14:paraId="28BA1E67" w14:textId="77777777" w:rsidR="00CC7D2C" w:rsidRPr="002A677E" w:rsidRDefault="00CC7D2C" w:rsidP="00320EFD">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Krátké pozice s povolenou kompenzací vztahující se k hrubým syntetickým kapitálovým investicím uvedeným výše</w:t>
            </w:r>
          </w:p>
          <w:p w14:paraId="072D1CD4" w14:textId="77777777" w:rsidR="00CC7D2C" w:rsidRPr="002A677E" w:rsidRDefault="00CC7D2C" w:rsidP="00320EFD">
            <w:pPr>
              <w:pStyle w:val="InstructionsText"/>
            </w:pPr>
            <w:r>
              <w:t>Ustanovení čl. 4 odst. 1 bodu 126 a článku 59 nařízení (EU) č. 575/2013.</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Ustanovení čl. 59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t>0370</w:t>
            </w:r>
          </w:p>
        </w:tc>
        <w:tc>
          <w:tcPr>
            <w:tcW w:w="7049" w:type="dxa"/>
          </w:tcPr>
          <w:p w14:paraId="04EC7CD0" w14:textId="77777777" w:rsidR="00CC7D2C" w:rsidRPr="002A677E" w:rsidRDefault="00CC7D2C" w:rsidP="00320EFD">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Investice do kapitálu tier 2 subjektů finančního sektoru, v nichž instituce nemá významnou investici, očištěné o krátké pozice</w:t>
            </w:r>
          </w:p>
          <w:p w14:paraId="7F7CE21E" w14:textId="77777777" w:rsidR="00CC7D2C" w:rsidRPr="002A677E" w:rsidRDefault="00CC7D2C" w:rsidP="00320EFD">
            <w:pPr>
              <w:pStyle w:val="InstructionsText"/>
            </w:pPr>
            <w:r>
              <w:t>Články 68, 69 a 70 nařízení (EU) č. 575/2013</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0380</w:t>
            </w:r>
          </w:p>
        </w:tc>
        <w:tc>
          <w:tcPr>
            <w:tcW w:w="7049" w:type="dxa"/>
          </w:tcPr>
          <w:p w14:paraId="14053A9D" w14:textId="77777777" w:rsidR="00CC7D2C" w:rsidRPr="002A677E" w:rsidRDefault="00CC7D2C" w:rsidP="00320EFD">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Přímé kapitálové investice do nástrojů zahrnovaných do kapitálu tier 2 subjektů finančního sektoru, v nichž instituce nemá významnou investici</w:t>
            </w:r>
          </w:p>
          <w:p w14:paraId="27A664CA" w14:textId="77777777" w:rsidR="00CC7D2C" w:rsidRPr="002A677E" w:rsidRDefault="00CC7D2C" w:rsidP="00320EFD">
            <w:pPr>
              <w:pStyle w:val="InstructionsText"/>
            </w:pPr>
            <w:r>
              <w:t>Články 68 a 69 a čl. 70 odst. 2 nařízení (EU) č. 575/2013</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t>0390</w:t>
            </w:r>
          </w:p>
        </w:tc>
        <w:tc>
          <w:tcPr>
            <w:tcW w:w="7049" w:type="dxa"/>
          </w:tcPr>
          <w:p w14:paraId="68C193DA" w14:textId="77777777" w:rsidR="00CC7D2C" w:rsidRPr="002A677E" w:rsidRDefault="00CC7D2C" w:rsidP="00320EFD">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Hrubé přímé kapitálové investice do nástrojů zahrnovaných do kapitálu tier 2 subjektů finančního sektoru, v nichž instituce nemá významnou investici</w:t>
            </w:r>
          </w:p>
          <w:p w14:paraId="65520E33" w14:textId="77777777" w:rsidR="00CC7D2C" w:rsidRPr="002A677E" w:rsidRDefault="00CC7D2C" w:rsidP="00320EFD">
            <w:pPr>
              <w:pStyle w:val="InstructionsText"/>
            </w:pPr>
            <w:r>
              <w:t>Článek 68 a čl. 70 odst. 2 nařízení (EU) č. 575/2013</w:t>
            </w:r>
          </w:p>
          <w:p w14:paraId="17F7ABF9" w14:textId="77777777" w:rsidR="00CC7D2C" w:rsidRPr="002A677E" w:rsidRDefault="00CC7D2C" w:rsidP="00320EFD">
            <w:pPr>
              <w:pStyle w:val="InstructionsText"/>
            </w:pPr>
            <w:r>
              <w:t>Přímé kapitálové investice do nástrojů zahrnovaných do kapitálu tier 2 subjektů finančního sektoru, v nichž instituce nemá významnou investici s výjimkou:</w:t>
            </w:r>
          </w:p>
          <w:p w14:paraId="138D2316" w14:textId="77777777" w:rsidR="00CC7D2C" w:rsidRPr="002A677E" w:rsidRDefault="00CC7D2C" w:rsidP="00320EFD">
            <w:pPr>
              <w:pStyle w:val="InstructionsText"/>
            </w:pPr>
            <w:r>
              <w:t>a)</w:t>
            </w:r>
            <w:r>
              <w:tab/>
              <w:t xml:space="preserve">pozic z upisování držených po dobu pěti nebo méně pracovních dnů; a </w:t>
            </w:r>
          </w:p>
          <w:p w14:paraId="2887BC3D" w14:textId="77777777" w:rsidR="00CC7D2C" w:rsidRPr="002A677E" w:rsidRDefault="00CC7D2C" w:rsidP="00320EFD">
            <w:pPr>
              <w:pStyle w:val="InstructionsText"/>
            </w:pPr>
            <w:r>
              <w:t>b)</w:t>
            </w:r>
            <w:r>
              <w:tab/>
              <w:t>Kapitálové investice, s nimiž se zachází jako se vzájemnými účastmi podle čl. 66 písm. b) nařízení (EU) č. 575/2013, se zde nezohledňují.</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t>0400</w:t>
            </w:r>
          </w:p>
        </w:tc>
        <w:tc>
          <w:tcPr>
            <w:tcW w:w="7049" w:type="dxa"/>
          </w:tcPr>
          <w:p w14:paraId="2A3DABB5" w14:textId="77777777" w:rsidR="00CC7D2C" w:rsidRPr="002A677E" w:rsidRDefault="00CC7D2C" w:rsidP="00320EFD">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Krátké pozice s povolenou kompenzací vztahující se k hrubým přímým kapitálovým investicím uvedeným výše</w:t>
            </w:r>
          </w:p>
          <w:p w14:paraId="1AF115D3" w14:textId="77777777" w:rsidR="00CC7D2C" w:rsidRPr="002A677E" w:rsidRDefault="00CC7D2C" w:rsidP="00320EFD">
            <w:pPr>
              <w:pStyle w:val="InstructionsText"/>
            </w:pPr>
            <w:r>
              <w:t>Článek 69 nařízení (EU) č. 575/2013</w:t>
            </w:r>
          </w:p>
          <w:p w14:paraId="2DDF012E" w14:textId="77777777" w:rsidR="00CC7D2C" w:rsidRPr="002A677E" w:rsidRDefault="00CC7D2C" w:rsidP="00320EFD">
            <w:pPr>
              <w:pStyle w:val="InstructionsText"/>
            </w:pPr>
            <w:r>
              <w:t>Ustanovení čl. 69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t>0410</w:t>
            </w:r>
          </w:p>
        </w:tc>
        <w:tc>
          <w:tcPr>
            <w:tcW w:w="7049" w:type="dxa"/>
          </w:tcPr>
          <w:p w14:paraId="0411814E" w14:textId="77777777" w:rsidR="00CC7D2C" w:rsidRPr="002A677E" w:rsidRDefault="00CC7D2C" w:rsidP="00320EFD">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Nepřímé kapitálové investice do nástrojů zahrnovaných do kapitálu tier 2 subjektů finančního sektoru, v nichž instituce nemá významnou investici</w:t>
            </w:r>
          </w:p>
          <w:p w14:paraId="2E9A4143" w14:textId="77777777" w:rsidR="00CC7D2C" w:rsidRPr="002A677E" w:rsidRDefault="00CC7D2C" w:rsidP="00320EFD">
            <w:pPr>
              <w:pStyle w:val="InstructionsText"/>
            </w:pPr>
            <w:r>
              <w:lastRenderedPageBreak/>
              <w:t>Ustanovení čl. 4 odst. 1 bodu 114 a článků 68 a 69 nařízení (EU) č. 575/2013</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lastRenderedPageBreak/>
              <w:t>0420</w:t>
            </w:r>
          </w:p>
        </w:tc>
        <w:tc>
          <w:tcPr>
            <w:tcW w:w="7049" w:type="dxa"/>
          </w:tcPr>
          <w:p w14:paraId="010CE0F5" w14:textId="77777777" w:rsidR="00CC7D2C" w:rsidRPr="002A677E" w:rsidRDefault="00CC7D2C" w:rsidP="00320EFD">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Hrubé nepřímé kapitálové investice do nástrojů zahrnovaných do kapitálu tier 2 subjektů finančního sektoru, v nichž instituce nemá významnou investici</w:t>
            </w:r>
          </w:p>
          <w:p w14:paraId="661ED498" w14:textId="77777777" w:rsidR="00CC7D2C" w:rsidRPr="002A677E" w:rsidRDefault="00CC7D2C" w:rsidP="00320EFD">
            <w:pPr>
              <w:pStyle w:val="InstructionsText"/>
            </w:pPr>
            <w:r>
              <w:t>Ustanovení čl. 4 odst. 1 bodu 114 a článků 68 a 69 nařízení (EU) č. 575/2013</w:t>
            </w:r>
          </w:p>
          <w:p w14:paraId="47CEB0E6" w14:textId="77777777" w:rsidR="00CC7D2C" w:rsidRPr="002A677E" w:rsidRDefault="00CC7D2C" w:rsidP="00320EFD">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5F653926" w14:textId="77777777" w:rsidR="00CC7D2C" w:rsidRPr="002A677E" w:rsidRDefault="00CC7D2C" w:rsidP="00320EFD">
            <w:pPr>
              <w:pStyle w:val="InstructionsText"/>
            </w:pPr>
            <w:r>
              <w:t>Kapitálové investice, s nimiž se zachází jako se vzájemnými účastmi podle čl. 66 písm. b) nařízení (EU) č. 575/2013, se zde nezohledňují.</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t>0430</w:t>
            </w:r>
          </w:p>
        </w:tc>
        <w:tc>
          <w:tcPr>
            <w:tcW w:w="7049" w:type="dxa"/>
          </w:tcPr>
          <w:p w14:paraId="05B2F446" w14:textId="77777777" w:rsidR="00CC7D2C" w:rsidRPr="002A677E" w:rsidRDefault="00CC7D2C" w:rsidP="00320EFD">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Krátké pozice s povolenou kompenzací vztahující se k hrubým nepřímým kapitálovým investicím uvedeným výše</w:t>
            </w:r>
          </w:p>
          <w:p w14:paraId="3D51CA91" w14:textId="77777777" w:rsidR="00CC7D2C" w:rsidRPr="002A677E" w:rsidRDefault="00CC7D2C" w:rsidP="00320EFD">
            <w:pPr>
              <w:pStyle w:val="InstructionsText"/>
            </w:pPr>
            <w:r>
              <w:t>Ustanovení čl. 4 odst. 1 bodu 114 a článku 69 nařízení (EU) č. 575/2013</w:t>
            </w:r>
          </w:p>
          <w:p w14:paraId="05D4EBCE" w14:textId="77777777" w:rsidR="00CC7D2C" w:rsidRPr="002A677E" w:rsidRDefault="00CC7D2C" w:rsidP="00320EFD">
            <w:pPr>
              <w:pStyle w:val="InstructionsText"/>
            </w:pPr>
            <w:r>
              <w:t>Ustanovení čl. 69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t>0431</w:t>
            </w:r>
          </w:p>
        </w:tc>
        <w:tc>
          <w:tcPr>
            <w:tcW w:w="7049" w:type="dxa"/>
          </w:tcPr>
          <w:p w14:paraId="5B185F2E" w14:textId="77777777" w:rsidR="00CC7D2C" w:rsidRPr="002A677E" w:rsidRDefault="00CC7D2C" w:rsidP="00320EFD">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Syntetické kapitálové investice do nástrojů zahrnovaných do kapitálu tier 2 subjektů finančního sektoru, v nichž instituce nemá významnou investici</w:t>
            </w:r>
          </w:p>
          <w:p w14:paraId="51085EB2" w14:textId="77777777" w:rsidR="00CC7D2C" w:rsidRPr="002A677E" w:rsidRDefault="00CC7D2C" w:rsidP="00320EFD">
            <w:pPr>
              <w:pStyle w:val="InstructionsText"/>
              <w:rPr>
                <w:rStyle w:val="InstructionsTabelleberschrift"/>
                <w:rFonts w:ascii="Times New Roman" w:hAnsi="Times New Roman"/>
                <w:sz w:val="24"/>
              </w:rPr>
            </w:pPr>
            <w:r>
              <w:t>Ustanovení čl. 4 odst. 1 bodu 126 a článků 68 a 69 nařízení (EU) č. 575/2013</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t>0432</w:t>
            </w:r>
          </w:p>
        </w:tc>
        <w:tc>
          <w:tcPr>
            <w:tcW w:w="7049" w:type="dxa"/>
          </w:tcPr>
          <w:p w14:paraId="04B98A3C" w14:textId="77777777" w:rsidR="00CC7D2C" w:rsidRPr="002A677E" w:rsidRDefault="00CC7D2C" w:rsidP="00320EFD">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Hrubé syntetické kapitálové investice do nástrojů zahrnovaných do kapitálu tier 2 subjektů finančního sektoru, v nichž instituce nemá významnou investici</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t>Ustanovení čl. 4 odst. 1 bodu 126 a článků 68 a 69 nařízení (EU) č. 575/2013</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t>0433</w:t>
            </w:r>
          </w:p>
        </w:tc>
        <w:tc>
          <w:tcPr>
            <w:tcW w:w="7049" w:type="dxa"/>
          </w:tcPr>
          <w:p w14:paraId="7629D40E" w14:textId="77777777" w:rsidR="00CC7D2C" w:rsidRPr="002A677E" w:rsidRDefault="00CC7D2C" w:rsidP="00320EFD">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Krátké pozice s povolenou kompenzací vztahující se k hrubým syntetickým kapitálovým investicím uvedeným výše</w:t>
            </w:r>
          </w:p>
          <w:p w14:paraId="3DB92575" w14:textId="77777777" w:rsidR="00CC7D2C" w:rsidRPr="002A677E" w:rsidRDefault="00CC7D2C" w:rsidP="00320EFD">
            <w:pPr>
              <w:pStyle w:val="InstructionsText"/>
            </w:pPr>
            <w:r>
              <w:t>Ustanovení čl. 4 odst. 1 bodu 126 a článku 69 nařízení (EU) č. 575/2013.</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Ustanovení čl. 69 písm. a) nařízení (EU) č. 575/2013 povoluje kompenzaci krátkých pozic v téže podkladové expozici za předpokladu, že datum splatnosti krátké pozice je buď stejné nebo </w:t>
            </w:r>
            <w:r>
              <w:lastRenderedPageBreak/>
              <w:t>pozdější než datum splatnosti dlouhé pozice, nebo v případě, že zbytková splatnost krátké pozice činí nejméně jeden rok.</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lastRenderedPageBreak/>
              <w:t>0440</w:t>
            </w:r>
          </w:p>
        </w:tc>
        <w:tc>
          <w:tcPr>
            <w:tcW w:w="7049" w:type="dxa"/>
          </w:tcPr>
          <w:p w14:paraId="0FF9C857" w14:textId="77777777" w:rsidR="00CC7D2C" w:rsidRPr="002A677E" w:rsidRDefault="00CC7D2C" w:rsidP="00320EFD">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Investice do kmenového kapitálu tier 1 subjektů finančního sektoru, v nichž má instituce významnou investici, očištěné o krátké pozice</w:t>
            </w:r>
          </w:p>
          <w:p w14:paraId="7C875F9C" w14:textId="77777777" w:rsidR="00CC7D2C" w:rsidRPr="002A677E" w:rsidRDefault="00CC7D2C" w:rsidP="00320EFD">
            <w:pPr>
              <w:pStyle w:val="InstructionsText"/>
            </w:pPr>
            <w:r>
              <w:t>Články 44, 45, 47 a 49 nařízení (EU) č. 575/2013</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t>0450</w:t>
            </w:r>
          </w:p>
        </w:tc>
        <w:tc>
          <w:tcPr>
            <w:tcW w:w="7049" w:type="dxa"/>
          </w:tcPr>
          <w:p w14:paraId="67599E27" w14:textId="77777777" w:rsidR="00CC7D2C" w:rsidRPr="002A677E" w:rsidRDefault="00CC7D2C" w:rsidP="00320EFD">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Přímé kapitálové investice do nástrojů zahrnovaných do kmenového kapitálu tier 1 subjektů finančního sektoru, v nichž má instituce významnou investici</w:t>
            </w:r>
          </w:p>
          <w:p w14:paraId="741527BD" w14:textId="77777777" w:rsidR="00CC7D2C" w:rsidRPr="002A677E" w:rsidRDefault="00CC7D2C" w:rsidP="00320EFD">
            <w:pPr>
              <w:pStyle w:val="InstructionsText"/>
            </w:pPr>
            <w:r>
              <w:t>Články 44, 45, 47 a 49 nařízení (EU) č. 575/2013</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0460</w:t>
            </w:r>
          </w:p>
        </w:tc>
        <w:tc>
          <w:tcPr>
            <w:tcW w:w="7049" w:type="dxa"/>
          </w:tcPr>
          <w:p w14:paraId="2B980E39" w14:textId="77777777" w:rsidR="00CC7D2C" w:rsidRPr="002A677E" w:rsidRDefault="00CC7D2C" w:rsidP="00320EFD">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Hrubé přímé kapitálové investice do nástrojů zahrnovaných do kmenového kapitálu tier 1 subjektů finančního sektoru, v nichž má instituce významnou investici</w:t>
            </w:r>
          </w:p>
          <w:p w14:paraId="036661F9" w14:textId="77777777" w:rsidR="00CC7D2C" w:rsidRPr="002A677E" w:rsidRDefault="00CC7D2C" w:rsidP="00320EFD">
            <w:pPr>
              <w:pStyle w:val="InstructionsText"/>
            </w:pPr>
            <w:r>
              <w:t>Články 44, 45, 47 a 49 nařízení (EU) č. 575/2013</w:t>
            </w:r>
          </w:p>
          <w:p w14:paraId="09C948F4" w14:textId="77777777" w:rsidR="00CC7D2C" w:rsidRPr="002A677E" w:rsidRDefault="00CC7D2C" w:rsidP="00320EFD">
            <w:pPr>
              <w:pStyle w:val="InstructionsText"/>
            </w:pPr>
            <w:r>
              <w:t>Přímé kapitálové investice do nástrojů zahrnovaných do kmenového kapitálu tier 1 subjektů finančního sektoru, v nichž má instituce významnou investici, s výjimkou:</w:t>
            </w:r>
          </w:p>
          <w:p w14:paraId="0A0074A9" w14:textId="77777777" w:rsidR="00CC7D2C" w:rsidRPr="002A677E" w:rsidRDefault="00CC7D2C" w:rsidP="00320EFD">
            <w:pPr>
              <w:pStyle w:val="InstructionsText"/>
            </w:pPr>
            <w:r>
              <w:t>a)</w:t>
            </w:r>
            <w:r>
              <w:tab/>
              <w:t xml:space="preserve">pozic z upisování držených po dobu pěti nebo méně pracovních dnů; </w:t>
            </w:r>
          </w:p>
          <w:p w14:paraId="4E883DD4" w14:textId="77777777" w:rsidR="00CC7D2C" w:rsidRPr="002A677E" w:rsidRDefault="00CC7D2C" w:rsidP="00320EFD">
            <w:pPr>
              <w:pStyle w:val="InstructionsText"/>
            </w:pPr>
            <w:r>
              <w:t>b)</w:t>
            </w:r>
            <w:r>
              <w:tab/>
              <w:t xml:space="preserve">částek souvisejících s investicemi, na něž se vztahuje některá z alternativ uvedených v článku 49, a </w:t>
            </w:r>
          </w:p>
          <w:p w14:paraId="5BB8BDF6" w14:textId="77777777" w:rsidR="00CC7D2C" w:rsidRPr="002A677E" w:rsidRDefault="00CC7D2C" w:rsidP="00320EFD">
            <w:pPr>
              <w:pStyle w:val="InstructionsText"/>
            </w:pPr>
            <w:r>
              <w:t>c)</w:t>
            </w:r>
            <w:r>
              <w:tab/>
              <w:t>kapitálových investic, s nimiž se zachází jako se vzájemnými účastmi podle čl. 36 odst. 1 písm. g) nařízení (EU) č. 575/2013.</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t>0470</w:t>
            </w:r>
          </w:p>
        </w:tc>
        <w:tc>
          <w:tcPr>
            <w:tcW w:w="7049" w:type="dxa"/>
          </w:tcPr>
          <w:p w14:paraId="4713E01D" w14:textId="77777777" w:rsidR="00CC7D2C" w:rsidRPr="002A677E" w:rsidRDefault="00CC7D2C" w:rsidP="00320EFD">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Krátké pozice s povolenou kompenzací vztahující se k hrubým přímým kapitálovým investicím uvedeným výše</w:t>
            </w:r>
          </w:p>
          <w:p w14:paraId="608988C8" w14:textId="77777777" w:rsidR="00CC7D2C" w:rsidRPr="002A677E" w:rsidRDefault="00CC7D2C" w:rsidP="00320EFD">
            <w:pPr>
              <w:pStyle w:val="InstructionsText"/>
            </w:pPr>
            <w:r>
              <w:t>Článek 45 nařízení (EU) č. 575/2013</w:t>
            </w:r>
          </w:p>
          <w:p w14:paraId="17514F1A" w14:textId="77777777" w:rsidR="00CC7D2C" w:rsidRPr="002A677E" w:rsidRDefault="00CC7D2C" w:rsidP="00320EFD">
            <w:pPr>
              <w:pStyle w:val="InstructionsText"/>
            </w:pPr>
            <w:r>
              <w:t>Ustanovení čl. 45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t>0480</w:t>
            </w:r>
          </w:p>
        </w:tc>
        <w:tc>
          <w:tcPr>
            <w:tcW w:w="7049" w:type="dxa"/>
          </w:tcPr>
          <w:p w14:paraId="761DBFD7" w14:textId="77777777" w:rsidR="00CC7D2C" w:rsidRPr="002A677E" w:rsidRDefault="00CC7D2C" w:rsidP="00320EFD">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Nepřímé kapitálové investice do nástrojů zahrnovaných do kmenového kapitálu tier 1 subjektů finančního sektoru, v nichž má instituce významnou investici</w:t>
            </w:r>
          </w:p>
          <w:p w14:paraId="6E5583DA" w14:textId="77777777" w:rsidR="00CC7D2C" w:rsidRPr="002A677E" w:rsidRDefault="00CC7D2C" w:rsidP="00320EFD">
            <w:pPr>
              <w:pStyle w:val="InstructionsText"/>
            </w:pPr>
            <w:r>
              <w:t>Ustanovení čl. 4 odst. 1 bodu 114 a článků 44 a 45 nařízení (EU) č. 575/2013</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t>0490</w:t>
            </w:r>
          </w:p>
        </w:tc>
        <w:tc>
          <w:tcPr>
            <w:tcW w:w="7049" w:type="dxa"/>
          </w:tcPr>
          <w:p w14:paraId="698DA054" w14:textId="77777777" w:rsidR="00CC7D2C" w:rsidRPr="002A677E" w:rsidRDefault="00CC7D2C" w:rsidP="00320EFD">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Hrubé nepřímé kapitálové investice do nástrojů zahrnovaných do kmenového kapitálu tier 1 subjektů finančního sektoru, v nichž má instituce významnou investici</w:t>
            </w:r>
          </w:p>
          <w:p w14:paraId="794C9AFE" w14:textId="77777777" w:rsidR="00CC7D2C" w:rsidRPr="002A677E" w:rsidRDefault="00CC7D2C" w:rsidP="00320EFD">
            <w:pPr>
              <w:pStyle w:val="InstructionsText"/>
            </w:pPr>
            <w:r>
              <w:t>Ustanovení čl. 4 odst. 1 bodu 114 a článků 44 a 45 nařízení (EU) č. 575/2013</w:t>
            </w:r>
          </w:p>
          <w:p w14:paraId="0AE2F25F" w14:textId="77777777" w:rsidR="00CC7D2C" w:rsidRPr="002A677E" w:rsidRDefault="00CC7D2C" w:rsidP="00320EFD">
            <w:pPr>
              <w:pStyle w:val="InstructionsText"/>
            </w:pPr>
            <w:r>
              <w:lastRenderedPageBreak/>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3F78CFCC" w14:textId="77777777" w:rsidR="00CC7D2C" w:rsidRPr="002A677E" w:rsidRDefault="00CC7D2C" w:rsidP="00320EFD">
            <w:pPr>
              <w:pStyle w:val="InstructionsText"/>
            </w:pPr>
            <w:r>
              <w:t>Kapitálové investice, s nimiž se zachází jako se vzájemnými účastmi podle čl. 36 odst. 1 písm. g) nařízení (EU) č. 575/2013, se zde nezohledňují.</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lastRenderedPageBreak/>
              <w:t>0500</w:t>
            </w:r>
          </w:p>
        </w:tc>
        <w:tc>
          <w:tcPr>
            <w:tcW w:w="7049" w:type="dxa"/>
          </w:tcPr>
          <w:p w14:paraId="44D389F7" w14:textId="77777777" w:rsidR="00CC7D2C" w:rsidRPr="002A677E" w:rsidRDefault="00CC7D2C" w:rsidP="00320EFD">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Krátké pozice s povolenou kompenzací vztahující se k hrubým nepřímým kapitálovým investicím uvedeným výše</w:t>
            </w:r>
          </w:p>
          <w:p w14:paraId="0260A712" w14:textId="77777777" w:rsidR="00CC7D2C" w:rsidRPr="002A677E" w:rsidRDefault="00CC7D2C" w:rsidP="00320EFD">
            <w:pPr>
              <w:pStyle w:val="InstructionsText"/>
            </w:pPr>
            <w:r>
              <w:t>Ustanovení čl. 4 odst. 1 bodu 114 a článku 45 nařízení (EU) č. 575/2013</w:t>
            </w:r>
          </w:p>
          <w:p w14:paraId="50F604F3" w14:textId="77777777" w:rsidR="00CC7D2C" w:rsidRPr="002A677E" w:rsidRDefault="00CC7D2C" w:rsidP="00320EFD">
            <w:pPr>
              <w:pStyle w:val="InstructionsText"/>
            </w:pPr>
            <w:r>
              <w:t>Ustanovení čl. 45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t>0501</w:t>
            </w:r>
          </w:p>
        </w:tc>
        <w:tc>
          <w:tcPr>
            <w:tcW w:w="7049" w:type="dxa"/>
          </w:tcPr>
          <w:p w14:paraId="4F06B854" w14:textId="77777777" w:rsidR="00CC7D2C" w:rsidRPr="002A677E" w:rsidRDefault="00CC7D2C" w:rsidP="00320EFD">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Syntetické kapitálové investice do nástrojů zahrnovaných do kmenového kapitálu tier 1 subjektů finančního sektoru, v nichž má instituce významnou investici</w:t>
            </w:r>
          </w:p>
          <w:p w14:paraId="4FDA5923" w14:textId="77777777" w:rsidR="00CC7D2C" w:rsidRPr="002A677E" w:rsidRDefault="00CC7D2C" w:rsidP="00320EFD">
            <w:pPr>
              <w:pStyle w:val="InstructionsText"/>
            </w:pPr>
            <w:r>
              <w:t>Ustanovení čl. 4 odst. 1 bodu 126 a článků 44 a 45 nařízení (EU) č. 575/2013</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t>0502</w:t>
            </w:r>
          </w:p>
        </w:tc>
        <w:tc>
          <w:tcPr>
            <w:tcW w:w="7049" w:type="dxa"/>
          </w:tcPr>
          <w:p w14:paraId="37BEEACC" w14:textId="77777777" w:rsidR="00CC7D2C" w:rsidRPr="002A677E" w:rsidRDefault="00CC7D2C" w:rsidP="00320EFD">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Hrubé syntetické kapitálové investice do nástrojů zahrnovaných do kmenového kapitálu tier 1 subjektů finančního sektoru, v nichž má instituce významnou investici</w:t>
            </w:r>
          </w:p>
          <w:p w14:paraId="324270A6" w14:textId="77777777" w:rsidR="00CC7D2C" w:rsidRPr="002A677E" w:rsidRDefault="00CC7D2C" w:rsidP="00320EFD">
            <w:pPr>
              <w:pStyle w:val="InstructionsText"/>
            </w:pPr>
            <w:r>
              <w:t>Ustanovení čl. 4 odst. 1 bodu 126 a článků 44 a 45 nařízení (EU) č. 575/2013</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t>0503</w:t>
            </w:r>
          </w:p>
        </w:tc>
        <w:tc>
          <w:tcPr>
            <w:tcW w:w="7049" w:type="dxa"/>
          </w:tcPr>
          <w:p w14:paraId="316380A6" w14:textId="77777777" w:rsidR="00CC7D2C" w:rsidRPr="002A677E" w:rsidRDefault="00CC7D2C" w:rsidP="00320EFD">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Krátké pozice s povolenou kompenzací vztahující se k hrubým syntetickým kapitálovým investicím uvedeným výše</w:t>
            </w:r>
          </w:p>
          <w:p w14:paraId="514B205E" w14:textId="77777777" w:rsidR="00CC7D2C" w:rsidRPr="002A677E" w:rsidRDefault="00CC7D2C" w:rsidP="00320EFD">
            <w:pPr>
              <w:pStyle w:val="InstructionsText"/>
            </w:pPr>
            <w:r>
              <w:t>Ustanovení čl. 4 odst. 1 bodu 126 a článku 45 nařízení (EU) č. 575/2013.</w:t>
            </w:r>
          </w:p>
          <w:p w14:paraId="4A259B9A" w14:textId="77777777" w:rsidR="00CC7D2C" w:rsidRPr="002A677E" w:rsidRDefault="00CC7D2C" w:rsidP="00320EFD">
            <w:pPr>
              <w:pStyle w:val="InstructionsText"/>
            </w:pPr>
            <w:r>
              <w:t>Ustanovení čl. 45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Investice do kmenového kapitálu tier 1 subjektů finančního sektoru, v nichž má instituce významnou investici – podléhající rizikové váze 250</w:t>
            </w:r>
            <w:r>
              <w:t> </w:t>
            </w:r>
            <w:r>
              <w:rPr>
                <w:rStyle w:val="InstructionsTabelleberschrift"/>
                <w:rFonts w:ascii="Times New Roman" w:hAnsi="Times New Roman"/>
                <w:sz w:val="24"/>
              </w:rPr>
              <w:t>%</w:t>
            </w:r>
          </w:p>
          <w:p w14:paraId="7F700D84" w14:textId="77777777" w:rsidR="00CC7D2C" w:rsidRPr="002A677E" w:rsidRDefault="00CC7D2C" w:rsidP="00320EFD">
            <w:pPr>
              <w:pStyle w:val="InstructionsText"/>
            </w:pPr>
            <w:r>
              <w:t>Ustanovení čl. 48 odst. 4 nařízení (EU) č. 575/2013</w:t>
            </w:r>
          </w:p>
          <w:p w14:paraId="08C3709A" w14:textId="77777777" w:rsidR="00CC7D2C" w:rsidRPr="002A677E" w:rsidRDefault="00CC7D2C" w:rsidP="00320EFD">
            <w:pPr>
              <w:pStyle w:val="InstructionsText"/>
            </w:pPr>
            <w:r>
              <w:t xml:space="preserve">Částka významných investic do kmenového kapitálu tier 1 subjektů finančního sektoru, které nejsou odečteny podle čl. 48 odst. 1 </w:t>
            </w:r>
            <w:r>
              <w:lastRenderedPageBreak/>
              <w:t>nařízení (EU) č. 575/2013, avšak podléhají rizikové váze 250 % podle čl. 48 odst. 4 uvedeného nařízení.</w:t>
            </w:r>
          </w:p>
          <w:p w14:paraId="4CC369EF" w14:textId="77777777" w:rsidR="00CC7D2C" w:rsidRPr="002A677E" w:rsidRDefault="00CC7D2C" w:rsidP="00320EFD">
            <w:pPr>
              <w:pStyle w:val="InstructionsText"/>
              <w:rPr>
                <w:rStyle w:val="InstructionsTabelleberschrift"/>
                <w:rFonts w:ascii="Times New Roman" w:hAnsi="Times New Roman"/>
                <w:sz w:val="24"/>
              </w:rPr>
            </w:pPr>
            <w:r>
              <w:t>Vykázanou částkou je částka významných investic před použitím rizikové váhy.</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lastRenderedPageBreak/>
              <w:t>0510</w:t>
            </w:r>
          </w:p>
        </w:tc>
        <w:tc>
          <w:tcPr>
            <w:tcW w:w="7049" w:type="dxa"/>
          </w:tcPr>
          <w:p w14:paraId="37A68C4A" w14:textId="77777777" w:rsidR="00CC7D2C" w:rsidRPr="002A677E" w:rsidRDefault="00CC7D2C" w:rsidP="00320EFD">
            <w:pPr>
              <w:pStyle w:val="InstructionsText"/>
            </w:pPr>
            <w:r>
              <w:rPr>
                <w:rStyle w:val="InstructionsTabelleberschrift"/>
                <w:rFonts w:ascii="Times New Roman" w:hAnsi="Times New Roman"/>
                <w:sz w:val="24"/>
              </w:rPr>
              <w:t>16 Kapitálové investice do nástrojů zahrnovaných do vedlejšího kapitálu tier 1 subjektů finančního sektoru, v nichž má instituce významnou investici, očištěné o krátké pozice</w:t>
            </w:r>
          </w:p>
          <w:p w14:paraId="0B60B353" w14:textId="77777777" w:rsidR="00CC7D2C" w:rsidRPr="002A677E" w:rsidRDefault="00CC7D2C" w:rsidP="00320EFD">
            <w:pPr>
              <w:pStyle w:val="InstructionsText"/>
            </w:pPr>
            <w:r>
              <w:t>Články 58 a 59 nařízení (EU) č. 575/2013</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t>0520</w:t>
            </w:r>
          </w:p>
        </w:tc>
        <w:tc>
          <w:tcPr>
            <w:tcW w:w="7049" w:type="dxa"/>
          </w:tcPr>
          <w:p w14:paraId="396E8E7A" w14:textId="77777777" w:rsidR="00CC7D2C" w:rsidRPr="002A677E" w:rsidRDefault="00CC7D2C" w:rsidP="00320EFD">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Přímé kapitálové investice do nástrojů zahrnovaných do vedlejšího kapitálu tier 1 subjektů finančního sektoru, v nichž má instituce významnou investici</w:t>
            </w:r>
          </w:p>
          <w:p w14:paraId="615CAEA4" w14:textId="77777777" w:rsidR="00CC7D2C" w:rsidRPr="002A677E" w:rsidRDefault="00CC7D2C" w:rsidP="00320EFD">
            <w:pPr>
              <w:pStyle w:val="InstructionsText"/>
            </w:pPr>
            <w:r>
              <w:t>Články 58 a 59 nařízení (EU) č. 575/2013</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0530</w:t>
            </w:r>
          </w:p>
        </w:tc>
        <w:tc>
          <w:tcPr>
            <w:tcW w:w="7049" w:type="dxa"/>
          </w:tcPr>
          <w:p w14:paraId="3FCC12A6" w14:textId="77777777" w:rsidR="00CC7D2C" w:rsidRPr="002A677E" w:rsidRDefault="00CC7D2C" w:rsidP="00320EFD">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Hrubé přímé kapitálové investice do nástrojů zahrnovaných do vedlejšího kapitálu tier 1 subjektů finančního sektoru, v nichž má instituce významnou investici</w:t>
            </w:r>
          </w:p>
          <w:p w14:paraId="12F44F50" w14:textId="77777777" w:rsidR="00CC7D2C" w:rsidRPr="002A677E" w:rsidRDefault="00CC7D2C" w:rsidP="00320EFD">
            <w:pPr>
              <w:pStyle w:val="InstructionsText"/>
            </w:pPr>
            <w:r>
              <w:t>Článek 58 nařízení (EU) č. 575/2013</w:t>
            </w:r>
          </w:p>
          <w:p w14:paraId="41935DD8" w14:textId="77777777" w:rsidR="00CC7D2C" w:rsidRPr="002A677E" w:rsidRDefault="00CC7D2C" w:rsidP="00320EFD">
            <w:pPr>
              <w:pStyle w:val="InstructionsText"/>
            </w:pPr>
            <w:r>
              <w:t>Přímé kapitálové investice do nástrojů zahrnovaných do vedlejšího kapitálu tier 1 subjektů finančního sektoru, v nichž má instituce významnou investici, s výjimkou:</w:t>
            </w:r>
          </w:p>
          <w:p w14:paraId="4D8400A2" w14:textId="77777777" w:rsidR="00CC7D2C" w:rsidRPr="002A677E" w:rsidRDefault="00CC7D2C" w:rsidP="00320EFD">
            <w:pPr>
              <w:pStyle w:val="InstructionsText"/>
            </w:pPr>
            <w:r>
              <w:t>a)</w:t>
            </w:r>
            <w:r>
              <w:tab/>
              <w:t>pozic z upisování držených po dobu pěti nebo méně pracovních dnů (čl. 56 písm. d) nařízení (EU) č. 575/2013); a</w:t>
            </w:r>
          </w:p>
          <w:p w14:paraId="5C192689" w14:textId="77777777" w:rsidR="00CC7D2C" w:rsidRPr="002A677E" w:rsidRDefault="00CC7D2C" w:rsidP="00320EFD">
            <w:pPr>
              <w:pStyle w:val="InstructionsText"/>
            </w:pPr>
            <w:r>
              <w:t>b)</w:t>
            </w:r>
            <w:r>
              <w:tab/>
              <w:t>kapitálových investic, s nimiž se zachází jako se vzájemnými účastmi podle čl. 56 písm. b) nařízení (EU) č. 575/2013.</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t>0540</w:t>
            </w:r>
          </w:p>
        </w:tc>
        <w:tc>
          <w:tcPr>
            <w:tcW w:w="7049" w:type="dxa"/>
          </w:tcPr>
          <w:p w14:paraId="035896E1" w14:textId="77777777" w:rsidR="00CC7D2C" w:rsidRPr="002A677E" w:rsidRDefault="00CC7D2C" w:rsidP="00320EFD">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Krátké pozice s povolenou kompenzací vztahující se k hrubým přímým kapitálovým investicím uvedeným výše</w:t>
            </w:r>
          </w:p>
          <w:p w14:paraId="78A0D4FB" w14:textId="77777777" w:rsidR="00CC7D2C" w:rsidRPr="002A677E" w:rsidRDefault="00CC7D2C" w:rsidP="00320EFD">
            <w:pPr>
              <w:pStyle w:val="InstructionsText"/>
            </w:pPr>
            <w:r>
              <w:t>Článek 59 nařízení (EU) č. 575/2013</w:t>
            </w:r>
          </w:p>
          <w:p w14:paraId="4D179792" w14:textId="77777777" w:rsidR="00CC7D2C" w:rsidRPr="002A677E" w:rsidRDefault="00CC7D2C" w:rsidP="00320EFD">
            <w:pPr>
              <w:pStyle w:val="InstructionsText"/>
            </w:pPr>
            <w:r>
              <w:t>Ustanovení čl. 59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t>0550</w:t>
            </w:r>
          </w:p>
        </w:tc>
        <w:tc>
          <w:tcPr>
            <w:tcW w:w="7049" w:type="dxa"/>
          </w:tcPr>
          <w:p w14:paraId="4644AFF9" w14:textId="77777777" w:rsidR="00CC7D2C" w:rsidRPr="002A677E" w:rsidRDefault="00CC7D2C" w:rsidP="00320EFD">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Nepřímé kapitálové investice do nástrojů zahrnovaných do vedlejšího kapitálu tier 1 subjektů finančního sektoru, v nichž má instituce významnou investici</w:t>
            </w:r>
          </w:p>
          <w:p w14:paraId="541FB02F" w14:textId="77777777" w:rsidR="00CC7D2C" w:rsidRPr="002A677E" w:rsidRDefault="00CC7D2C" w:rsidP="00320EFD">
            <w:pPr>
              <w:pStyle w:val="InstructionsText"/>
            </w:pPr>
            <w:r>
              <w:t>Ustanovení čl. 4 odst. 1 bodu 114 a článků 58 a 59 nařízení (EU) č. 575/2013</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t>0560</w:t>
            </w:r>
          </w:p>
        </w:tc>
        <w:tc>
          <w:tcPr>
            <w:tcW w:w="7049" w:type="dxa"/>
          </w:tcPr>
          <w:p w14:paraId="1B287A9A" w14:textId="77777777" w:rsidR="00CC7D2C" w:rsidRPr="002A677E" w:rsidRDefault="00CC7D2C" w:rsidP="00320EFD">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Hrubé nepřímé kapitálové investice do nástrojů zahrnovaných do vedlejšího kapitálu tier 1 subjektů finančního sektoru, v nichž má instituce významnou investici</w:t>
            </w:r>
          </w:p>
          <w:p w14:paraId="7AF4342B" w14:textId="77777777" w:rsidR="00CC7D2C" w:rsidRPr="002A677E" w:rsidRDefault="00CC7D2C" w:rsidP="00320EFD">
            <w:pPr>
              <w:pStyle w:val="InstructionsText"/>
            </w:pPr>
            <w:r>
              <w:t>Ustanovení čl. 4 odst. 1 bodu 114 a článků 58 a 59 nařízení (EU) č. 575/2013</w:t>
            </w:r>
          </w:p>
          <w:p w14:paraId="058247BE" w14:textId="77777777" w:rsidR="00CC7D2C" w:rsidRPr="002A677E" w:rsidRDefault="00CC7D2C" w:rsidP="00320EFD">
            <w:pPr>
              <w:pStyle w:val="InstructionsText"/>
            </w:pPr>
            <w:r>
              <w:lastRenderedPageBreak/>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7206E9B6" w14:textId="77777777" w:rsidR="00CC7D2C" w:rsidRPr="002A677E" w:rsidRDefault="00CC7D2C" w:rsidP="00320EFD">
            <w:pPr>
              <w:pStyle w:val="InstructionsText"/>
            </w:pPr>
            <w:r>
              <w:t>Kapitálové investice, s nimiž se zachází jako se vzájemnými účastmi podle čl. 56 písm. b) nařízení (EU) č. 575/2013, se zde nezohledňují.</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lastRenderedPageBreak/>
              <w:t>0570</w:t>
            </w:r>
          </w:p>
        </w:tc>
        <w:tc>
          <w:tcPr>
            <w:tcW w:w="7049" w:type="dxa"/>
          </w:tcPr>
          <w:p w14:paraId="21582B89" w14:textId="77777777" w:rsidR="00CC7D2C" w:rsidRPr="002A677E" w:rsidRDefault="00CC7D2C" w:rsidP="00320EFD">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Krátké pozice s povolenou kompenzací vztahující se k hrubým nepřímým kapitálovým investicím uvedeným výše</w:t>
            </w:r>
          </w:p>
          <w:p w14:paraId="4E8AE615" w14:textId="77777777" w:rsidR="00CC7D2C" w:rsidRPr="002A677E" w:rsidRDefault="00CC7D2C" w:rsidP="00320EFD">
            <w:pPr>
              <w:pStyle w:val="InstructionsText"/>
            </w:pPr>
            <w:r>
              <w:t>Ustanovení čl. 4 odst. 1 bodu 114 a článku 59 nařízení (EU) č. 575/2013</w:t>
            </w:r>
          </w:p>
          <w:p w14:paraId="41A9A020" w14:textId="77777777" w:rsidR="00CC7D2C" w:rsidRPr="002A677E" w:rsidRDefault="00CC7D2C" w:rsidP="00320EFD">
            <w:pPr>
              <w:pStyle w:val="InstructionsText"/>
            </w:pPr>
            <w:r>
              <w:t>Ustanovení čl. 59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t>0571</w:t>
            </w:r>
          </w:p>
        </w:tc>
        <w:tc>
          <w:tcPr>
            <w:tcW w:w="7049" w:type="dxa"/>
          </w:tcPr>
          <w:p w14:paraId="0424C170" w14:textId="77777777" w:rsidR="00CC7D2C" w:rsidRPr="002A677E" w:rsidRDefault="00CC7D2C" w:rsidP="00320EFD">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Syntetické kapitálové investice do nástrojů zahrnovaných do vedlejšího kapitálu tier 1 subjektů finančního sektoru, v nichž má instituce významnou investici</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Ustanovení čl. 4 odst. 1 bodu 126 a článků 58 a 59 nařízení (EU) č. 575/2013</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t>0572</w:t>
            </w:r>
          </w:p>
        </w:tc>
        <w:tc>
          <w:tcPr>
            <w:tcW w:w="7049" w:type="dxa"/>
          </w:tcPr>
          <w:p w14:paraId="05C0021B" w14:textId="77777777" w:rsidR="00CC7D2C" w:rsidRPr="002A677E" w:rsidRDefault="00CC7D2C" w:rsidP="00320EFD">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Hrubé syntetické kapitálové investice do nástrojů zahrnovaných do vedlejšího kapitálu tier 1 subjektů finančního sektoru, v nichž má instituce významnou investici</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Ustanovení čl. 4 odst. 1 bodu 126 a článků 58 a 59 nařízení (EU) č. 575/2013</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t>0573</w:t>
            </w:r>
          </w:p>
        </w:tc>
        <w:tc>
          <w:tcPr>
            <w:tcW w:w="7049" w:type="dxa"/>
          </w:tcPr>
          <w:p w14:paraId="7A9705B1" w14:textId="77777777" w:rsidR="00CC7D2C" w:rsidRPr="002A677E" w:rsidRDefault="00CC7D2C" w:rsidP="00320EFD">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Krátké pozice s povolenou kompenzací vztahující se k hrubým syntetickým kapitálovým investicím uvedeným výše</w:t>
            </w:r>
          </w:p>
          <w:p w14:paraId="0EC24D17" w14:textId="77777777" w:rsidR="00CC7D2C" w:rsidRPr="002A677E" w:rsidRDefault="00CC7D2C" w:rsidP="00320EFD">
            <w:pPr>
              <w:pStyle w:val="InstructionsText"/>
            </w:pPr>
            <w:r>
              <w:t>Ustanovení čl. 4 odst. 1 bodu 126 a článku 59 nařízení (EU) č. 575/2013.</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Ustanovení čl. 59 písm. a) nařízení (EU) č. 575/2013 </w:t>
            </w:r>
            <w:r>
              <w:rPr>
                <w:rStyle w:val="InstructionsTabelleberschrift"/>
                <w:rFonts w:ascii="Times New Roman" w:hAnsi="Times New Roman"/>
                <w:b w:val="0"/>
                <w:sz w:val="24"/>
                <w:u w:val="none"/>
              </w:rPr>
              <w:t>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t>0580</w:t>
            </w:r>
          </w:p>
        </w:tc>
        <w:tc>
          <w:tcPr>
            <w:tcW w:w="7049" w:type="dxa"/>
          </w:tcPr>
          <w:p w14:paraId="0D7DB5BA" w14:textId="77777777" w:rsidR="00CC7D2C" w:rsidRPr="002A677E" w:rsidRDefault="00CC7D2C" w:rsidP="00320EFD">
            <w:pPr>
              <w:pStyle w:val="InstructionsText"/>
            </w:pPr>
            <w:r>
              <w:rPr>
                <w:rStyle w:val="InstructionsTabelleberschrift"/>
                <w:rFonts w:ascii="Times New Roman" w:hAnsi="Times New Roman"/>
                <w:sz w:val="24"/>
              </w:rPr>
              <w:t>17 Kapitálové investice do nástrojů zahrnovaných do kapitálu tier 2 subjektů finančního sektoru, v nichž má instituce významnou investici, očištěné o krátké pozice</w:t>
            </w:r>
          </w:p>
          <w:p w14:paraId="2AB15F70" w14:textId="77777777" w:rsidR="00CC7D2C" w:rsidRPr="002A677E" w:rsidRDefault="00CC7D2C" w:rsidP="00320EFD">
            <w:pPr>
              <w:pStyle w:val="InstructionsText"/>
            </w:pPr>
            <w:r>
              <w:t>Články 68 a 69 nařízení (EU) č. 575/2013</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lastRenderedPageBreak/>
              <w:t>0590</w:t>
            </w:r>
          </w:p>
        </w:tc>
        <w:tc>
          <w:tcPr>
            <w:tcW w:w="7049" w:type="dxa"/>
          </w:tcPr>
          <w:p w14:paraId="0080DEBC" w14:textId="77777777" w:rsidR="00CC7D2C" w:rsidRPr="002A677E" w:rsidRDefault="00CC7D2C" w:rsidP="00320EFD">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Přímé kapitálové investice do nástrojů zahrnovaných do kapitálu tier 2 subjektů finančního sektoru, v nichž má instituce významnou investici</w:t>
            </w:r>
          </w:p>
          <w:p w14:paraId="6AED8073" w14:textId="77777777" w:rsidR="00CC7D2C" w:rsidRPr="002A677E" w:rsidRDefault="00CC7D2C" w:rsidP="00320EFD">
            <w:pPr>
              <w:pStyle w:val="InstructionsText"/>
            </w:pPr>
            <w:r>
              <w:t>Články 68 a 69 nařízení (EU) č. 575/2013</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t>0600</w:t>
            </w:r>
          </w:p>
        </w:tc>
        <w:tc>
          <w:tcPr>
            <w:tcW w:w="7049" w:type="dxa"/>
          </w:tcPr>
          <w:p w14:paraId="1F18D607" w14:textId="77777777" w:rsidR="00CC7D2C" w:rsidRPr="002A677E" w:rsidRDefault="00CC7D2C" w:rsidP="00320EFD">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Hrubé přímé kapitálové investice do nástrojů zahrnovaných do kapitálu tier 2 subjektů finančního sektoru, v nichž má instituce významnou investici</w:t>
            </w:r>
          </w:p>
          <w:p w14:paraId="16D79134" w14:textId="77777777" w:rsidR="00CC7D2C" w:rsidRPr="002A677E" w:rsidRDefault="00CC7D2C" w:rsidP="00320EFD">
            <w:pPr>
              <w:pStyle w:val="InstructionsText"/>
            </w:pPr>
            <w:r>
              <w:t>Článek 68 nařízení (EU) č. 575/2013</w:t>
            </w:r>
          </w:p>
          <w:p w14:paraId="66EA3661" w14:textId="77777777" w:rsidR="00CC7D2C" w:rsidRPr="002A677E" w:rsidRDefault="00CC7D2C" w:rsidP="00320EFD">
            <w:pPr>
              <w:pStyle w:val="InstructionsText"/>
            </w:pPr>
            <w:r>
              <w:t>Přímé kapitálové investice do nástrojů zahrnovaných do kapitálu tier 2 subjektů finančního sektoru, v nichž má instituce významnou investici, s výjimkou:</w:t>
            </w:r>
          </w:p>
          <w:p w14:paraId="423513CF" w14:textId="77777777" w:rsidR="00CC7D2C" w:rsidRPr="002A677E" w:rsidRDefault="00CC7D2C" w:rsidP="00320EFD">
            <w:pPr>
              <w:pStyle w:val="InstructionsText"/>
            </w:pPr>
            <w:r>
              <w:t>a)</w:t>
            </w:r>
            <w:r>
              <w:tab/>
              <w:t xml:space="preserve">pozic z upisování držených po dobu pěti nebo méně pracovních dnů (čl. 66 písm. d) nařízení (EU) č. 575/2013); a </w:t>
            </w:r>
          </w:p>
          <w:p w14:paraId="0945CD9C" w14:textId="77777777" w:rsidR="00CC7D2C" w:rsidRPr="002A677E" w:rsidRDefault="00CC7D2C" w:rsidP="00320EFD">
            <w:pPr>
              <w:pStyle w:val="InstructionsText"/>
            </w:pPr>
            <w:r>
              <w:t>b)</w:t>
            </w:r>
            <w:r>
              <w:tab/>
              <w:t>Kapitálové investice, s nimiž se zachází jako se vzájemnými účastmi podle čl. 66 písm. b) nařízení (EU) č. 575/2013, se zde nezohledňují.</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t>0610</w:t>
            </w:r>
          </w:p>
        </w:tc>
        <w:tc>
          <w:tcPr>
            <w:tcW w:w="7049" w:type="dxa"/>
          </w:tcPr>
          <w:p w14:paraId="069B8E47" w14:textId="77777777" w:rsidR="00CC7D2C" w:rsidRPr="002A677E" w:rsidRDefault="00CC7D2C" w:rsidP="00320EFD">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Krátké pozice s povolenou kompenzací vztahující se k hrubým přímým kapitálovým investicím uvedeným výše</w:t>
            </w:r>
          </w:p>
          <w:p w14:paraId="18ADFB22" w14:textId="77777777" w:rsidR="00CC7D2C" w:rsidRPr="002A677E" w:rsidRDefault="00CC7D2C" w:rsidP="00320EFD">
            <w:pPr>
              <w:pStyle w:val="InstructionsText"/>
            </w:pPr>
            <w:r>
              <w:t>Článek 69 nařízení (EU) č. 575/2013</w:t>
            </w:r>
          </w:p>
          <w:p w14:paraId="658809D0" w14:textId="77777777" w:rsidR="00CC7D2C" w:rsidRPr="002A677E" w:rsidRDefault="00CC7D2C" w:rsidP="00320EFD">
            <w:pPr>
              <w:pStyle w:val="InstructionsText"/>
            </w:pPr>
            <w:r>
              <w:t>Ustanovení čl. 69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t>0620</w:t>
            </w:r>
          </w:p>
        </w:tc>
        <w:tc>
          <w:tcPr>
            <w:tcW w:w="7049" w:type="dxa"/>
          </w:tcPr>
          <w:p w14:paraId="4E256A4B" w14:textId="77777777" w:rsidR="00CC7D2C" w:rsidRPr="002A677E" w:rsidRDefault="00CC7D2C" w:rsidP="00320EFD">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Nepřímé kapitálové investice do nástrojů zahrnovaných do kapitálu tier 2 subjektů finančního sektoru, v nichž má instituce významnou investici</w:t>
            </w:r>
          </w:p>
          <w:p w14:paraId="0C6BA394" w14:textId="77777777" w:rsidR="00CC7D2C" w:rsidRPr="002A677E" w:rsidRDefault="00CC7D2C" w:rsidP="00320EFD">
            <w:pPr>
              <w:pStyle w:val="InstructionsText"/>
            </w:pPr>
            <w:r>
              <w:t>Ustanovení čl. 4 odst. 1 bodu 114 a článků 68 a 69 nařízení (EU) č. 575/2013</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0630</w:t>
            </w:r>
          </w:p>
        </w:tc>
        <w:tc>
          <w:tcPr>
            <w:tcW w:w="7049" w:type="dxa"/>
          </w:tcPr>
          <w:p w14:paraId="26BE456B" w14:textId="77777777" w:rsidR="00CC7D2C" w:rsidRPr="002A677E" w:rsidRDefault="00CC7D2C" w:rsidP="00320EFD">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Hrubé nepřímé kapitálové investice do nástrojů zahrnovaných do kapitálu tier 2 subjektů finančního sektoru, v nichž má instituce významnou investici</w:t>
            </w:r>
          </w:p>
          <w:p w14:paraId="6C79EB51" w14:textId="77777777" w:rsidR="00CC7D2C" w:rsidRPr="002A677E" w:rsidRDefault="00CC7D2C" w:rsidP="00320EFD">
            <w:pPr>
              <w:pStyle w:val="InstructionsText"/>
            </w:pPr>
            <w:r>
              <w:t>Ustanovení čl. 4 odst. 1 bodu 114 a článků 68 a 69 nařízení (EU) č. 575/2013</w:t>
            </w:r>
          </w:p>
          <w:p w14:paraId="1C456D47" w14:textId="77777777" w:rsidR="00CC7D2C" w:rsidRPr="002A677E" w:rsidRDefault="00CC7D2C" w:rsidP="00320EFD">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2E7DF12B" w14:textId="77777777" w:rsidR="00CC7D2C" w:rsidRPr="002A677E" w:rsidRDefault="00CC7D2C" w:rsidP="00320EFD">
            <w:pPr>
              <w:pStyle w:val="InstructionsText"/>
            </w:pPr>
            <w:r>
              <w:t>Kapitálové investice, s nimiž se zachází jako se vzájemnými účastmi podle čl. 66 písm. b) nařízení (EU) č. 575/2013, se zde nezohledňují.</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lastRenderedPageBreak/>
              <w:t>0640</w:t>
            </w:r>
          </w:p>
        </w:tc>
        <w:tc>
          <w:tcPr>
            <w:tcW w:w="7049" w:type="dxa"/>
          </w:tcPr>
          <w:p w14:paraId="0ECB9762" w14:textId="77777777" w:rsidR="00CC7D2C" w:rsidRPr="002A677E" w:rsidRDefault="00CC7D2C" w:rsidP="00320EFD">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Krátké pozice s povolenou kompenzací vztahující se k hrubým nepřímým kapitálovým investicím uvedeným výše</w:t>
            </w:r>
          </w:p>
          <w:p w14:paraId="337B5275" w14:textId="77777777" w:rsidR="00CC7D2C" w:rsidRPr="002A677E" w:rsidRDefault="00CC7D2C" w:rsidP="00320EFD">
            <w:pPr>
              <w:pStyle w:val="InstructionsText"/>
            </w:pPr>
            <w:r>
              <w:t>Ustanovení čl. 4 odst. 1 bodu 114 a článku 69 nařízení (EU) č. 575/2013</w:t>
            </w:r>
          </w:p>
          <w:p w14:paraId="1D1733C3" w14:textId="77777777" w:rsidR="00CC7D2C" w:rsidRPr="002A677E" w:rsidRDefault="00CC7D2C" w:rsidP="00320EFD">
            <w:pPr>
              <w:pStyle w:val="InstructionsText"/>
            </w:pPr>
            <w:r>
              <w:t>Ustanovení čl. 69 písm. a) nařízení (EU) č. 575/2013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t>0641</w:t>
            </w:r>
          </w:p>
        </w:tc>
        <w:tc>
          <w:tcPr>
            <w:tcW w:w="7049" w:type="dxa"/>
            <w:vAlign w:val="center"/>
          </w:tcPr>
          <w:p w14:paraId="7550DD64" w14:textId="77777777" w:rsidR="00CC7D2C" w:rsidRPr="002A677E" w:rsidRDefault="00CC7D2C" w:rsidP="00320EFD">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Syntetické kapitálové investice do nástrojů zahrnovaných do kapitálu tier 2 subjektů finančního sektoru, v nichž má instituce významnou investici</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Ustanovení čl. 4 odst. 1 bodu 126 a článků 68 a 69 nařízení (EU) č. 575/2013</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t>0642</w:t>
            </w:r>
          </w:p>
        </w:tc>
        <w:tc>
          <w:tcPr>
            <w:tcW w:w="7049" w:type="dxa"/>
            <w:vAlign w:val="center"/>
          </w:tcPr>
          <w:p w14:paraId="0B22ABCC" w14:textId="77777777" w:rsidR="00CC7D2C" w:rsidRPr="002A677E" w:rsidRDefault="00CC7D2C" w:rsidP="00320EFD">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Hrubé syntetické kapitálové investice do nástrojů zahrnovaných do kapitálu tier 2 subjektů finančního sektoru, v nichž má instituce významnou investici</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Ustanovení čl. 4 odst. 1 bodu 126 a článků 68 a 69 nařízení (EU) č. 575/2013</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t>0643</w:t>
            </w:r>
          </w:p>
        </w:tc>
        <w:tc>
          <w:tcPr>
            <w:tcW w:w="7049" w:type="dxa"/>
            <w:vAlign w:val="center"/>
          </w:tcPr>
          <w:p w14:paraId="3E61F6CA" w14:textId="77777777" w:rsidR="00CC7D2C" w:rsidRPr="002A677E" w:rsidRDefault="00CC7D2C" w:rsidP="00320EFD">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Krátké pozice s povolenou kompenzací vztahující se k hrubým syntetickým kapitálovým investicím uvedeným výše</w:t>
            </w:r>
          </w:p>
          <w:p w14:paraId="4F4571E8" w14:textId="77777777" w:rsidR="00CC7D2C" w:rsidRPr="002A677E" w:rsidRDefault="00CC7D2C" w:rsidP="00320EFD">
            <w:pPr>
              <w:pStyle w:val="InstructionsText"/>
            </w:pPr>
            <w:r>
              <w:t>Ustanovení čl. 4 odst. 1 bodu 126 a článku 69 nařízení (EU) č. 575/2013.</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Ustanovení čl. 69 písm. a) nařízení (EU) č. 575/2013 </w:t>
            </w:r>
            <w:r>
              <w:rPr>
                <w:rStyle w:val="InstructionsTabelleberschrift"/>
                <w:rFonts w:ascii="Times New Roman" w:hAnsi="Times New Roman"/>
                <w:b w:val="0"/>
                <w:sz w:val="24"/>
                <w:u w:val="none"/>
              </w:rPr>
              <w:t>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t>0650</w:t>
            </w:r>
          </w:p>
        </w:tc>
        <w:tc>
          <w:tcPr>
            <w:tcW w:w="7049" w:type="dxa"/>
          </w:tcPr>
          <w:p w14:paraId="00327085" w14:textId="77777777" w:rsidR="00CC7D2C" w:rsidRPr="002A677E" w:rsidRDefault="00CC7D2C" w:rsidP="00320EFD">
            <w:pPr>
              <w:pStyle w:val="InstructionsText"/>
            </w:pPr>
            <w:r>
              <w:rPr>
                <w:rStyle w:val="InstructionsTabelleberschrift"/>
                <w:rFonts w:ascii="Times New Roman" w:hAnsi="Times New Roman"/>
                <w:sz w:val="24"/>
              </w:rPr>
              <w:t>18 Rizikově vážené expozice u kapitálových investic zahrnovaných do kmenového kapitálu tier 1 v subjektech finančního sektoru, které se neodečítají od kmenového kapitálu tier 1 instituce</w:t>
            </w:r>
          </w:p>
          <w:p w14:paraId="2A1347E7" w14:textId="77777777" w:rsidR="00CC7D2C" w:rsidRPr="002A677E" w:rsidRDefault="00CC7D2C" w:rsidP="00320EFD">
            <w:pPr>
              <w:pStyle w:val="InstructionsText"/>
            </w:pPr>
            <w:r>
              <w:t>Ustanovení čl. 46 odst. 4, čl. 48 odst. 4 a čl. 49 odst. 4 nařízení (EU) č. 575/2013</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t>0660</w:t>
            </w:r>
          </w:p>
        </w:tc>
        <w:tc>
          <w:tcPr>
            <w:tcW w:w="7049" w:type="dxa"/>
          </w:tcPr>
          <w:p w14:paraId="7D93F8F7" w14:textId="77777777" w:rsidR="00CC7D2C" w:rsidRPr="002A677E" w:rsidRDefault="00CC7D2C" w:rsidP="00320EFD">
            <w:pPr>
              <w:pStyle w:val="InstructionsText"/>
            </w:pPr>
            <w:r>
              <w:rPr>
                <w:rStyle w:val="InstructionsTabelleberschrift"/>
                <w:rFonts w:ascii="Times New Roman" w:hAnsi="Times New Roman"/>
                <w:sz w:val="24"/>
              </w:rPr>
              <w:t>19 Rizikově vážené expozice u kapitálových investic zahrnovaných do vedlejšího kapitálu tier 1 v subjektech finančního sektoru, které se neodečítají od vedlejšího kapitálu tier 1 instituce</w:t>
            </w:r>
          </w:p>
          <w:p w14:paraId="30C320BB" w14:textId="77777777" w:rsidR="00CC7D2C" w:rsidRPr="002A677E" w:rsidRDefault="00CC7D2C" w:rsidP="00320EFD">
            <w:pPr>
              <w:pStyle w:val="InstructionsText"/>
            </w:pPr>
            <w:r>
              <w:t>Ustanovení čl. 60 odst. 4 nařízení (EU) č. 575/2013</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0670</w:t>
            </w:r>
          </w:p>
        </w:tc>
        <w:tc>
          <w:tcPr>
            <w:tcW w:w="7049" w:type="dxa"/>
          </w:tcPr>
          <w:p w14:paraId="3326F623" w14:textId="77777777" w:rsidR="00CC7D2C" w:rsidRPr="002A677E" w:rsidRDefault="00CC7D2C" w:rsidP="00320EFD">
            <w:pPr>
              <w:pStyle w:val="InstructionsText"/>
            </w:pPr>
            <w:r>
              <w:rPr>
                <w:rStyle w:val="InstructionsTabelleberschrift"/>
                <w:rFonts w:ascii="Times New Roman" w:hAnsi="Times New Roman"/>
                <w:sz w:val="24"/>
              </w:rPr>
              <w:t>20 Rizikově vážené expozice u kapitálových investic zahrnovaných do kapitálu tier 2 v subjektech finančního sektoru, které se neodečítají od kapitálu tier 2 instituce</w:t>
            </w:r>
          </w:p>
          <w:p w14:paraId="78BD6DA2" w14:textId="77777777" w:rsidR="00CC7D2C" w:rsidRPr="002A677E" w:rsidRDefault="00CC7D2C" w:rsidP="00320EFD">
            <w:pPr>
              <w:pStyle w:val="InstructionsText"/>
            </w:pPr>
            <w:r>
              <w:lastRenderedPageBreak/>
              <w:t>Ustanovení čl. 70 odst. 4 nařízení (EU) č. 575/2013</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lastRenderedPageBreak/>
              <w:t>0680</w:t>
            </w:r>
          </w:p>
        </w:tc>
        <w:tc>
          <w:tcPr>
            <w:tcW w:w="7049" w:type="dxa"/>
          </w:tcPr>
          <w:p w14:paraId="0D13141E" w14:textId="77777777" w:rsidR="00CC7D2C" w:rsidRPr="002A677E" w:rsidRDefault="00CC7D2C" w:rsidP="00320EFD">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Investice do nástrojů zahrnovaných do kmenového kapitálu tier 1 subjektů finančního sektoru, v nichž instituce nemá významnou investici, s dočasnou výjimkou</w:t>
            </w:r>
          </w:p>
          <w:p w14:paraId="2FF787C2" w14:textId="77777777" w:rsidR="00CC7D2C" w:rsidRPr="002A677E" w:rsidRDefault="00CC7D2C" w:rsidP="00320EFD">
            <w:pPr>
              <w:pStyle w:val="InstructionsText"/>
            </w:pPr>
            <w:r>
              <w:t>Článek 79 nařízení (EU) č. 575/2013</w:t>
            </w:r>
          </w:p>
          <w:p w14:paraId="461FF48B" w14:textId="77777777" w:rsidR="00CC7D2C" w:rsidRPr="002A677E" w:rsidRDefault="00CC7D2C" w:rsidP="00320EFD">
            <w:pPr>
              <w:pStyle w:val="InstructionsText"/>
            </w:pPr>
            <w:r>
              <w:t>Příslušný orgán může dočasně upustit od uplatňování ustanovení o odpočtech od kmenového kapitálu tier 1 v důsledku kapitálových investic do nástrojů zvláštního subjektu finančního sektoru, jestliže se domnívá, že účelem těchto kapitálových investic je finanční pomoc určená k reorganizaci a záchraně daného subjektu.</w:t>
            </w:r>
          </w:p>
          <w:p w14:paraId="52F554E2" w14:textId="77777777" w:rsidR="00CC7D2C" w:rsidRPr="002A677E" w:rsidRDefault="00CC7D2C" w:rsidP="00320EFD">
            <w:pPr>
              <w:pStyle w:val="InstructionsText"/>
            </w:pPr>
            <w:r>
              <w:t>Nepřehlédněte, že tyto nástroje se vykazují rovněž v položce 12.1.</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t>0690</w:t>
            </w:r>
          </w:p>
        </w:tc>
        <w:tc>
          <w:tcPr>
            <w:tcW w:w="7049" w:type="dxa"/>
          </w:tcPr>
          <w:p w14:paraId="724FAE2C" w14:textId="77777777" w:rsidR="00CC7D2C" w:rsidRPr="002A677E" w:rsidRDefault="00CC7D2C" w:rsidP="00320EFD">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Investice do nástrojů zahrnovaných do kmenového kapitálu tier 1 subjektů finančního sektoru, v nichž instituce má významnou investici, s dočasnou výjimkou</w:t>
            </w:r>
          </w:p>
          <w:p w14:paraId="75D9BB74" w14:textId="77777777" w:rsidR="00CC7D2C" w:rsidRPr="002A677E" w:rsidRDefault="00CC7D2C" w:rsidP="00320EFD">
            <w:pPr>
              <w:pStyle w:val="InstructionsText"/>
            </w:pPr>
            <w:r>
              <w:t>Článek 79 nařízení (EU) č. 575/2013</w:t>
            </w:r>
          </w:p>
          <w:p w14:paraId="3CF93984" w14:textId="77777777" w:rsidR="00CC7D2C" w:rsidRPr="002A677E" w:rsidRDefault="00CC7D2C" w:rsidP="00320EFD">
            <w:pPr>
              <w:pStyle w:val="InstructionsText"/>
            </w:pPr>
            <w:r>
              <w:t>Příslušný orgán může upustit od uplatňování ustanovení o odpočtech od kmenového kapitálu tier 1 v důsledku kapitálových investic do nástrojů zvláštního subjektu finančního sektoru, jestliže se domnívá, že účelem těchto kapitálových investic je finanční pomoc určená k reorganizaci a záchraně daného subjektu.</w:t>
            </w:r>
          </w:p>
          <w:p w14:paraId="402057D7" w14:textId="77777777" w:rsidR="00CC7D2C" w:rsidRPr="002A677E" w:rsidRDefault="00CC7D2C" w:rsidP="00320EFD">
            <w:pPr>
              <w:pStyle w:val="InstructionsText"/>
            </w:pPr>
            <w:r>
              <w:t>Nepřehlédněte, že tyto nástroje se vykazují rovněž v položce 15.1.</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t>0700</w:t>
            </w:r>
          </w:p>
        </w:tc>
        <w:tc>
          <w:tcPr>
            <w:tcW w:w="7049" w:type="dxa"/>
          </w:tcPr>
          <w:p w14:paraId="161AE868" w14:textId="77777777" w:rsidR="00CC7D2C" w:rsidRPr="002A677E" w:rsidRDefault="00CC7D2C" w:rsidP="00320EFD">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Investice do kapitálových nástrojů vedlejšího kapitálu tier 1 subjektů finančního sektoru, v nichž instituce nemá významnou investici, s dočasnou výjimkou</w:t>
            </w:r>
          </w:p>
          <w:p w14:paraId="21529E99" w14:textId="77777777" w:rsidR="00CC7D2C" w:rsidRPr="002A677E" w:rsidRDefault="00CC7D2C" w:rsidP="00320EFD">
            <w:pPr>
              <w:pStyle w:val="InstructionsText"/>
            </w:pPr>
            <w:r>
              <w:t>Článek 79 nařízení (EU) č. 575/2013</w:t>
            </w:r>
          </w:p>
          <w:p w14:paraId="799B0BA0" w14:textId="77777777" w:rsidR="00CC7D2C" w:rsidRPr="002A677E" w:rsidRDefault="00CC7D2C" w:rsidP="00320EFD">
            <w:pPr>
              <w:pStyle w:val="InstructionsText"/>
            </w:pPr>
            <w:r>
              <w:t>Příslušný orgán může dočasně upustit od uplatňování ustanovení o odpočtech od vedlejšího kapitálu tier 1 v důsledku kapitálových investic do nástrojů zvláštního subjektu finančního sektoru, jestliže se domnívá, že účelem těchto kapitálových investic je finanční pomoc určená k reorganizaci a záchraně daného subjektu.</w:t>
            </w:r>
          </w:p>
          <w:p w14:paraId="4C19F43B" w14:textId="77777777" w:rsidR="00CC7D2C" w:rsidRPr="002A677E" w:rsidRDefault="00CC7D2C" w:rsidP="00320EFD">
            <w:pPr>
              <w:pStyle w:val="InstructionsText"/>
            </w:pPr>
            <w:r>
              <w:t>Nepřehlédněte, že tyto nástroje se vykazují rovněž v položce 13.1.</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t>0710</w:t>
            </w:r>
          </w:p>
        </w:tc>
        <w:tc>
          <w:tcPr>
            <w:tcW w:w="7049" w:type="dxa"/>
          </w:tcPr>
          <w:p w14:paraId="1BB5D659" w14:textId="77777777" w:rsidR="00CC7D2C" w:rsidRPr="002A677E" w:rsidRDefault="00CC7D2C" w:rsidP="00320EFD">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Investice do kapitálových nástrojů vedlejšího kapitálu tier 1 subjektů finančního sektoru, v nichž instituce má významnou investici, s dočasnou výjimkou</w:t>
            </w:r>
          </w:p>
          <w:p w14:paraId="29ECC364" w14:textId="77777777" w:rsidR="00CC7D2C" w:rsidRPr="002A677E" w:rsidRDefault="00CC7D2C" w:rsidP="00320EFD">
            <w:pPr>
              <w:pStyle w:val="InstructionsText"/>
            </w:pPr>
            <w:r>
              <w:t>Článek 79 nařízení (EU) č. 575/2013</w:t>
            </w:r>
          </w:p>
          <w:p w14:paraId="7B10897F" w14:textId="77777777" w:rsidR="00CC7D2C" w:rsidRPr="002A677E" w:rsidRDefault="00CC7D2C" w:rsidP="00320EFD">
            <w:pPr>
              <w:pStyle w:val="InstructionsText"/>
            </w:pPr>
            <w:r>
              <w:t>Příslušný orgán může dočasně upustit od uplatňování ustanovení o odpočtech od vedlejšího kapitálu tier 1 v důsledku kapitálových investic do nástrojů zvláštního subjektu finančního sektoru, jestliže se domnívá, že účelem těchto kapitálových investic je finanční pomoc určená k reorganizaci a záchraně daného subjektu.</w:t>
            </w:r>
          </w:p>
          <w:p w14:paraId="4477D9DA" w14:textId="77777777" w:rsidR="00CC7D2C" w:rsidRPr="002A677E" w:rsidRDefault="00CC7D2C" w:rsidP="00320EFD">
            <w:pPr>
              <w:pStyle w:val="InstructionsText"/>
            </w:pPr>
            <w:r>
              <w:t>Nepřehlédněte, že tyto nástroje se vykazují rovněž v položce 16.1.</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lastRenderedPageBreak/>
              <w:t>0720</w:t>
            </w:r>
          </w:p>
        </w:tc>
        <w:tc>
          <w:tcPr>
            <w:tcW w:w="7049" w:type="dxa"/>
          </w:tcPr>
          <w:p w14:paraId="1AFA5BF2" w14:textId="77777777" w:rsidR="00CC7D2C" w:rsidRPr="002A677E" w:rsidRDefault="00CC7D2C" w:rsidP="00320EFD">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Investice do kapitálových nástrojů T2 subjektů finančního sektoru, v nichž instituce nemá významnou investici, s dočasnou výjimkou</w:t>
            </w:r>
          </w:p>
          <w:p w14:paraId="11A612C2" w14:textId="77777777" w:rsidR="00CC7D2C" w:rsidRPr="002A677E" w:rsidRDefault="00CC7D2C" w:rsidP="00320EFD">
            <w:pPr>
              <w:pStyle w:val="InstructionsText"/>
            </w:pPr>
            <w:r>
              <w:t>Článek 79 nařízení (EU) č. 575/2013</w:t>
            </w:r>
          </w:p>
          <w:p w14:paraId="2B2A46AA" w14:textId="77777777" w:rsidR="00CC7D2C" w:rsidRPr="002A677E" w:rsidRDefault="00CC7D2C" w:rsidP="00320EFD">
            <w:pPr>
              <w:pStyle w:val="InstructionsText"/>
            </w:pPr>
            <w:r>
              <w:t>Příslušný orgán může upustit od uplatňování ustanovení o odpočtech od kmenového kapitálu tier 2 v důsledku kapitálových investic do nástrojů zvláštního subjektu finančního sektoru, jestliže se domnívá, že účelem těchto kapitálových investic je finanční pomoc určená k reorganizaci a záchraně daného subjektu.</w:t>
            </w:r>
          </w:p>
          <w:p w14:paraId="0FE5A55A" w14:textId="77777777" w:rsidR="00CC7D2C" w:rsidRPr="002A677E" w:rsidRDefault="00CC7D2C" w:rsidP="00320EFD">
            <w:pPr>
              <w:pStyle w:val="InstructionsText"/>
            </w:pPr>
            <w:r>
              <w:t>Nepřehlédněte, že tyto nástroje se vykazují rovněž v položce 14.1.</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t>0730</w:t>
            </w:r>
          </w:p>
        </w:tc>
        <w:tc>
          <w:tcPr>
            <w:tcW w:w="7049" w:type="dxa"/>
          </w:tcPr>
          <w:p w14:paraId="06A26F26" w14:textId="77777777" w:rsidR="00CC7D2C" w:rsidRPr="002A677E" w:rsidRDefault="00CC7D2C" w:rsidP="00320EFD">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Investice do kapitálových nástrojů T2 subjektů finančního sektoru, v nichž instituce má významnou investici, s dočasnou výjimkou</w:t>
            </w:r>
          </w:p>
          <w:p w14:paraId="208EC193" w14:textId="77777777" w:rsidR="00CC7D2C" w:rsidRPr="002A677E" w:rsidRDefault="00CC7D2C" w:rsidP="00320EFD">
            <w:pPr>
              <w:pStyle w:val="InstructionsText"/>
            </w:pPr>
            <w:r>
              <w:t>Článek 79 nařízení (EU) č. 575/2013</w:t>
            </w:r>
          </w:p>
          <w:p w14:paraId="1FA4E3CB" w14:textId="77777777" w:rsidR="00CC7D2C" w:rsidRPr="002A677E" w:rsidRDefault="00CC7D2C" w:rsidP="00320EFD">
            <w:pPr>
              <w:pStyle w:val="InstructionsText"/>
            </w:pPr>
            <w:r>
              <w:t>Příslušný orgán může upustit od uplatňování ustanovení o odpočtech od kmenového kapitálu tier 2 v důsledku kapitálových investic do nástrojů zvláštního subjektu finančního sektoru, jestliže se domnívá, že účelem těchto kapitálových investic je finanční pomoc určená k reorganizaci a záchraně daného subjektu.</w:t>
            </w:r>
          </w:p>
          <w:p w14:paraId="13C3AFDA" w14:textId="77777777" w:rsidR="00CC7D2C" w:rsidRPr="002A677E" w:rsidRDefault="00CC7D2C" w:rsidP="00320EFD">
            <w:pPr>
              <w:pStyle w:val="InstructionsText"/>
            </w:pPr>
            <w:r>
              <w:t>Nepřehlédněte, že tyto nástroje se vykazují rovněž v položce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Požadavek kombinovaných kapitálových rezerv</w:t>
            </w:r>
          </w:p>
          <w:p w14:paraId="0AF29A6F" w14:textId="77777777" w:rsidR="00CC7D2C" w:rsidRPr="002A677E" w:rsidRDefault="00CC7D2C" w:rsidP="00320EFD">
            <w:pPr>
              <w:pStyle w:val="InstructionsText"/>
            </w:pPr>
            <w:r>
              <w:t>Ustanovení čl. 128 bodu 6 směrnice 2013/36/EU</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rFonts w:ascii="Times New Roman" w:hAnsi="Times New Roman"/>
                <w:sz w:val="24"/>
              </w:rPr>
              <w:t>Bezpečnostní kapitálová rezerva</w:t>
            </w:r>
          </w:p>
          <w:p w14:paraId="1304A556" w14:textId="77777777" w:rsidR="00CC7D2C" w:rsidRPr="002A677E" w:rsidRDefault="00CC7D2C" w:rsidP="00320EFD">
            <w:pPr>
              <w:pStyle w:val="InstructionsText"/>
            </w:pPr>
            <w:r>
              <w:t xml:space="preserve">Ustanovení čl. 128 bodu 1 a článku 129 směrnice 2013/36/EU </w:t>
            </w:r>
          </w:p>
          <w:p w14:paraId="34478878" w14:textId="77777777" w:rsidR="00CC7D2C" w:rsidRPr="002A677E" w:rsidRDefault="00CC7D2C" w:rsidP="00320EFD">
            <w:pPr>
              <w:pStyle w:val="InstructionsText"/>
            </w:pPr>
            <w:r>
              <w:t>Bezpečnostní kapitálová rezerva představuje podle čl. 129 odst. 1 směrnice 2013/36/EU dodatečný objem kmenového kapitálu tier 1. Vzhledem k tomu, že 2,5 % sazba bezpečnostní kapitálové rezervy je stabilní, výše rezervy se vykazuje v tomto řádku.</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Pr>
                <w:rStyle w:val="InstructionsTabelleberschrift"/>
                <w:rFonts w:ascii="Times New Roman" w:hAnsi="Times New Roman"/>
                <w:sz w:val="24"/>
              </w:rPr>
              <w:t xml:space="preserve">Bezpečnostní rezerva, je-li na úrovni členského státu zjištěno makroobezřetnostní nebo systémové riziko </w:t>
            </w:r>
          </w:p>
          <w:p w14:paraId="6B9D8D9B" w14:textId="77777777" w:rsidR="00CC7D2C" w:rsidRPr="002A677E" w:rsidRDefault="00CC7D2C" w:rsidP="00320EFD">
            <w:pPr>
              <w:pStyle w:val="InstructionsText"/>
            </w:pPr>
            <w:r>
              <w:t>Ustanovení čl. 458 odst. 2 písm. d) bodu iv) nařízení (EU) č. 575/2013</w:t>
            </w:r>
          </w:p>
          <w:p w14:paraId="164E576A" w14:textId="77777777" w:rsidR="00CC7D2C" w:rsidRPr="002A677E" w:rsidRDefault="00CC7D2C" w:rsidP="00320EFD">
            <w:pPr>
              <w:pStyle w:val="InstructionsText"/>
            </w:pPr>
            <w:r>
              <w:t>V tomto řádku se vykazuje výše bezpečnostní rezervy v důsledku makroobezřetnostního nebo systémového rizika zjištěného na úrovni členského státu, která může být vyžadována podle článku 458 nařízení (EU) č. 575/2013 vedle bezpečnostní kapitálové rezervy.</w:t>
            </w:r>
          </w:p>
          <w:p w14:paraId="567C4AC2" w14:textId="77777777" w:rsidR="00CC7D2C" w:rsidRPr="002A677E" w:rsidRDefault="00CC7D2C" w:rsidP="00320EFD">
            <w:pPr>
              <w:pStyle w:val="InstructionsText"/>
            </w:pPr>
            <w:r>
              <w:t>Vykázaná částka představuje výši kapitálu potřebnou ke splnění příslušných požadavků na kapitálové rezervy k datu vykazování.</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Pr>
                <w:rStyle w:val="InstructionsTabelleberschrift"/>
                <w:rFonts w:ascii="Times New Roman" w:hAnsi="Times New Roman"/>
                <w:sz w:val="24"/>
              </w:rPr>
              <w:t xml:space="preserve">Proticyklická kapitálová rezerva stanovená konkrétně pro danou instituci </w:t>
            </w:r>
          </w:p>
          <w:p w14:paraId="5911F73C" w14:textId="77777777" w:rsidR="00CC7D2C" w:rsidRPr="002A677E" w:rsidRDefault="00CC7D2C" w:rsidP="00320EFD">
            <w:pPr>
              <w:pStyle w:val="InstructionsText"/>
            </w:pPr>
            <w:r>
              <w:lastRenderedPageBreak/>
              <w:t xml:space="preserve">Ustanovení čl. 128 bodu 2 a článků 130 a 135 až 140 směrnice 2013/36/EU </w:t>
            </w:r>
          </w:p>
          <w:p w14:paraId="2146B003" w14:textId="77777777" w:rsidR="00CC7D2C" w:rsidRPr="002A677E" w:rsidRDefault="00CC7D2C" w:rsidP="00320EFD">
            <w:pPr>
              <w:pStyle w:val="InstructionsText"/>
            </w:pPr>
            <w:r>
              <w:t>Vykázaná částka představuje výši kapitálu potřebnou ke splnění příslušných požadavků na kapitálové rezervy k datu vykazování.</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lastRenderedPageBreak/>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Pr>
                <w:rStyle w:val="InstructionsTabelleberschrift"/>
                <w:rFonts w:ascii="Times New Roman" w:hAnsi="Times New Roman"/>
                <w:sz w:val="24"/>
              </w:rPr>
              <w:t xml:space="preserve">Kapitálová rezerva pro krytí systémového rizika </w:t>
            </w:r>
          </w:p>
          <w:p w14:paraId="441B636C" w14:textId="77777777" w:rsidR="00CC7D2C" w:rsidRPr="002A677E" w:rsidRDefault="00CC7D2C" w:rsidP="00320EFD">
            <w:pPr>
              <w:pStyle w:val="InstructionsText"/>
            </w:pPr>
            <w:r>
              <w:t xml:space="preserve">Ustanovení čl. 128 bodu 5 a článků 133 a 134 směrnice 2013/36/EU </w:t>
            </w:r>
          </w:p>
          <w:p w14:paraId="69C1F43C" w14:textId="77777777" w:rsidR="00CC7D2C" w:rsidRPr="002A677E" w:rsidRDefault="00CC7D2C" w:rsidP="00320EFD">
            <w:pPr>
              <w:pStyle w:val="InstructionsText"/>
            </w:pPr>
            <w:r>
              <w:t>Vykázaná částka představuje výši kapitálu potřebnou ke splnění příslušných požadavků na kapitálové rezervy k datu vykazování.</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Kapitálová rezerva pro globální systémově významné instituce</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128 bodu 3 a článku 131 </w:t>
            </w:r>
            <w:r>
              <w:t>směrnice 2013/36/EU</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Vykázaná částka představuje výši kapitálu potřebnou ke splnění příslušných požadavků na kapitálové rezervy k datu vykazování.</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Kapitálová rezerva pro jiné systémově významné instituce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128 bodu 4 a článku 131 </w:t>
            </w:r>
            <w:r>
              <w:t>směrnice 2013/36/EU</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Vykázaná částka představuje výši kapitálu potřebnou ke splnění příslušných požadavků na kapitálové rezervy k datu vykazování.</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Kapitálové požadavky související s úpravami podle pilíře II</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104a odst. 1</w:t>
            </w:r>
            <w:r>
              <w:t xml:space="preserve"> směrnice 2013/36/EU</w:t>
            </w:r>
            <w:r>
              <w:rPr>
                <w:rStyle w:val="InstructionsTabelleberschrift"/>
                <w:rFonts w:ascii="Times New Roman" w:hAnsi="Times New Roman"/>
                <w:b w:val="0"/>
                <w:sz w:val="24"/>
                <w:u w:val="none"/>
              </w:rPr>
              <w:t xml:space="preserve">.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Pokud příslušný orgán rozhodne, že instituce musí z důvodů, které vyplývají z pilíře II, vypočítat dodatečné požadavky na kapitál, objem těchto dodatečných kapitálových požadavků se vykazuje v tomto řádku.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Počáteční kapitál</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Články 12 a 28 až 31 </w:t>
            </w:r>
            <w:r>
              <w:t>směrnice 2013/36/EU</w:t>
            </w:r>
            <w:r>
              <w:rPr>
                <w:rStyle w:val="InstructionsTabelleberschrift"/>
                <w:rFonts w:ascii="Times New Roman" w:hAnsi="Times New Roman"/>
                <w:b w:val="0"/>
                <w:sz w:val="24"/>
                <w:u w:val="none"/>
              </w:rPr>
              <w:t xml:space="preserve"> a článek 93 </w:t>
            </w:r>
            <w:r>
              <w:t>nařízení (EU) č.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Kapitál určený na základě fixních režijních nákladů</w:t>
            </w:r>
          </w:p>
          <w:p w14:paraId="0512C5F3" w14:textId="77777777" w:rsidR="00CC7D2C" w:rsidRDefault="00CC7D2C" w:rsidP="00320EFD">
            <w:pPr>
              <w:pStyle w:val="InstructionsText"/>
            </w:pPr>
            <w:r>
              <w:rPr>
                <w:rStyle w:val="InstructionsTabelleberschrift"/>
                <w:rFonts w:ascii="Times New Roman" w:hAnsi="Times New Roman"/>
                <w:b w:val="0"/>
                <w:sz w:val="24"/>
                <w:u w:val="none"/>
              </w:rPr>
              <w:t>Ustanovení čl. 95 odst. </w:t>
            </w:r>
            <w:r>
              <w:rPr>
                <w:rStyle w:val="InstructionsTabelleberschrift"/>
                <w:rFonts w:ascii="Times New Roman" w:hAnsi="Times New Roman"/>
                <w:b w:val="0"/>
                <w:sz w:val="24"/>
              </w:rPr>
              <w:t>2 písm. b), čl. </w:t>
            </w:r>
            <w:r>
              <w:rPr>
                <w:rStyle w:val="InstructionsTabelleberschrift"/>
                <w:rFonts w:ascii="Times New Roman" w:hAnsi="Times New Roman"/>
                <w:b w:val="0"/>
                <w:sz w:val="24"/>
                <w:u w:val="none"/>
              </w:rPr>
              <w:t xml:space="preserve">96 odst. 2 písm. b), článku 97 a čl. 98 odst. 1 písm. a) </w:t>
            </w:r>
            <w:r>
              <w:t>nařízení (EU) č. 575/2013</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t>Vykázanou částkou je kapitálový požadavek vyplývající z uplatnění výše uvedených článků.</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Zahraniční původní expozice</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Údaje potřebné k výpočtu prahové hodnoty pro vykazování v rámci šablony</w:t>
            </w:r>
            <w:r>
              <w:t xml:space="preserve"> CR GB podle</w:t>
            </w:r>
            <w:r>
              <w:rPr>
                <w:rStyle w:val="InstructionsTabelleberschrift"/>
                <w:rFonts w:ascii="Times New Roman" w:hAnsi="Times New Roman"/>
                <w:b w:val="0"/>
                <w:sz w:val="24"/>
                <w:u w:val="none"/>
              </w:rPr>
              <w:t xml:space="preserve"> čl. 5 odst. 5 tohoto prováděcího nařízení. Výpočet prahové hodnoty se provádí podle původní expozice před vynásobením konverzním faktorem.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Expozice se považují za tuzemské, jsou-li expozicemi vůči protistranám nacházejícím se v členském státě, v němž se nachází instituce.</w:t>
            </w:r>
          </w:p>
          <w:p w14:paraId="1E9D65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Odchylně od čl. 21 odst. 1 písm. a) tohoto prováděcího nařízení se tento řádek vyplní vždy.</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Původní expozice celkem</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Údaje potřebné k výpočtu prahové hodnoty pro vykazování v rámci šablony</w:t>
            </w:r>
            <w:r>
              <w:t xml:space="preserve"> CR GB podle</w:t>
            </w:r>
            <w:r>
              <w:rPr>
                <w:rStyle w:val="InstructionsTabelleberschrift"/>
                <w:rFonts w:ascii="Times New Roman" w:hAnsi="Times New Roman"/>
                <w:b w:val="0"/>
                <w:sz w:val="24"/>
                <w:u w:val="none"/>
              </w:rPr>
              <w:t xml:space="preserve"> čl. 5 odst. 5 tohoto prováděcího nařízení. Výpočet prahové hodnoty se provádí podle původní expozice před vynásobením konverzním faktorem.</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Expozice se považují za tuzemské, jsou-li expozicemi vůči protistranám nacházejícím se v členském státě, v němž se nachází instituce.</w:t>
            </w:r>
          </w:p>
          <w:p w14:paraId="1C76764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Odchylně od čl. 21 odst. 1 písm. a) tohoto prováděcího nařízení se tento řádek vyplní vždy.</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33   ÚPRAVA S OHLEDEM NA PRÁH PŘED UPLATNĚNÍM PŘECHODNÉHO STROPU</w:t>
            </w:r>
          </w:p>
          <w:p w14:paraId="0E5E8397" w14:textId="77777777" w:rsidR="00CC7D2C" w:rsidRPr="002A677E" w:rsidRDefault="00CC7D2C" w:rsidP="00320EFD">
            <w:pPr>
              <w:pStyle w:val="InstructionsText"/>
              <w:rPr>
                <w:rStyle w:val="InstructionsTabelleberschrift"/>
                <w:rFonts w:ascii="Times New Roman" w:hAnsi="Times New Roman"/>
                <w:sz w:val="24"/>
              </w:rPr>
            </w:pPr>
            <w:r>
              <w:t>V případě institucí, na něž se vztahuje výstupní práh podle čl. 92 odst. 3 nařízení (EU) č. 575/2013, se jedná o úpravu s ohledem na práh bez použití přechodného stropu stanoveného v čl. 465 odst. 2 nařízení (EU) č. 575/2013.</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34   ÚPRAVA S OHLEDEM NA PRÁH PO UPLATNĚNÍ PŘECHODNÉHO STROPU</w:t>
            </w:r>
          </w:p>
          <w:p w14:paraId="373CB5D0" w14:textId="77777777" w:rsidR="00CC7D2C" w:rsidRDefault="00CC7D2C" w:rsidP="00320EFD">
            <w:pPr>
              <w:pStyle w:val="InstructionsText"/>
              <w:rPr>
                <w:rStyle w:val="InstructionsTabelleberschrift"/>
                <w:rFonts w:ascii="Times New Roman" w:hAnsi="Times New Roman"/>
                <w:sz w:val="24"/>
              </w:rPr>
            </w:pPr>
            <w:r>
              <w:t>V případě institucí, na něž se vztahuje výstupní práh podle čl. 92 odst. 3 nařízení (EU) č. 575/2013, se jedná o úpravu s ohledem na práh po použití přechodného stropu stanoveného v čl. 465 odst. 2 nařízení (EU) č. 575/2013.</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35     ÚPRAVA S OHLEDEM NA PRÁH V PLNÉM ROZSAHU </w:t>
            </w:r>
          </w:p>
          <w:p w14:paraId="7B9000EF" w14:textId="77777777" w:rsidR="00CC7D2C" w:rsidRPr="002A677E" w:rsidRDefault="00CC7D2C" w:rsidP="00320EFD">
            <w:pPr>
              <w:pStyle w:val="InstructionsText"/>
              <w:rPr>
                <w:rStyle w:val="InstructionsTabelleberschrift"/>
                <w:rFonts w:ascii="Times New Roman" w:hAnsi="Times New Roman"/>
                <w:sz w:val="24"/>
              </w:rPr>
            </w:pPr>
            <w:r>
              <w:t>V případě institucí, na něž se vztahuje výstupní práh podle čl. 92 odst. 3 nařízení (EU) č. 575/2013, se jedná o úpravu s ohledem na práh bez použití všech přechodných ustanovení článku 465 nařízení (EU) č. 575/2013.</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36 Uplatněný minimální výstupní práh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rPr>
            </w:pPr>
            <w:r>
              <w:rPr>
                <w:rFonts w:ascii="Times New Roman" w:hAnsi="Times New Roman"/>
                <w:sz w:val="24"/>
              </w:rPr>
              <w:t>Minimální výstupní práh, vyjádřený v procentech, uplatňovaný institucí při</w:t>
            </w:r>
          </w:p>
          <w:p w14:paraId="4826F3C6" w14:textId="77777777" w:rsidR="00CC7D2C" w:rsidRPr="002A677E" w:rsidRDefault="00CC7D2C" w:rsidP="00320EFD">
            <w:pPr>
              <w:pStyle w:val="InstructionsText"/>
              <w:rPr>
                <w:rStyle w:val="InstructionsTabelleberschrift"/>
                <w:rFonts w:ascii="Times New Roman" w:hAnsi="Times New Roman"/>
                <w:sz w:val="24"/>
              </w:rPr>
            </w:pPr>
            <w:r>
              <w:t>výpočtu hodnoty úpravy s ohledem na práh: faktor „x“ podle čl. 92 odst. 3 a čl. 465 odst. 1 nařízení (EU) č. 575/2013.</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t>1.6</w:t>
      </w:r>
      <w:r>
        <w:tab/>
        <w:t>PŘECHODNÁ USTANOVENÍ a NÁSTROJE, PRO NĚŽ PLATÍ ZACHOVÁNÍ PRÁVNÍCH ÚČINKŮ: NÁSTROJE NEPŘEDSTAVUJÍCÍ STÁTNÍ PODPORU (CA5</w:t>
      </w:r>
      <w:bookmarkEnd w:id="46"/>
      <w:r>
        <w:t>)</w:t>
      </w:r>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1.6.1</w:t>
      </w:r>
      <w:r>
        <w:tab/>
        <w:t>Obecné poznámky</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16</w:t>
      </w:r>
      <w:r>
        <w:fldChar w:fldCharType="end"/>
      </w:r>
      <w:r>
        <w:t>.</w:t>
      </w:r>
      <w:r>
        <w:tab/>
        <w:t xml:space="preserve">Šablona CA5 shrnuje výpočet položek a odpočtů kapitálu, které jsou předmětem přechodných ustanovení stanovených v článcích 465 až 491, 494a a 494b nařízení (EU) č. 575/2013. </w:t>
      </w:r>
    </w:p>
    <w:p w14:paraId="5236D7A3" w14:textId="77777777" w:rsidR="00CC7D2C" w:rsidRPr="002A677E" w:rsidRDefault="00CC7D2C" w:rsidP="00886567">
      <w:pPr>
        <w:pStyle w:val="InstructionsText2"/>
        <w:numPr>
          <w:ilvl w:val="0"/>
          <w:numId w:val="0"/>
        </w:numPr>
      </w:pPr>
      <w:r>
        <w:lastRenderedPageBreak/>
        <w:fldChar w:fldCharType="begin"/>
      </w:r>
      <w:r>
        <w:instrText>seq paragraphs</w:instrText>
      </w:r>
      <w:r>
        <w:fldChar w:fldCharType="separate"/>
      </w:r>
      <w:r>
        <w:t>17</w:t>
      </w:r>
      <w:r>
        <w:fldChar w:fldCharType="end"/>
      </w:r>
      <w:r>
        <w:t>.</w:t>
      </w:r>
      <w:r>
        <w:tab/>
        <w:t>Šablona CA5 je strukturována následovně:</w:t>
      </w:r>
    </w:p>
    <w:p w14:paraId="1CFB5D30" w14:textId="77777777" w:rsidR="00CC7D2C" w:rsidRPr="002A677E" w:rsidRDefault="00CC7D2C" w:rsidP="00886567">
      <w:pPr>
        <w:pStyle w:val="InstructionsText2"/>
        <w:numPr>
          <w:ilvl w:val="0"/>
          <w:numId w:val="0"/>
        </w:numPr>
        <w:ind w:left="993"/>
      </w:pPr>
      <w:r>
        <w:t>a)</w:t>
      </w:r>
      <w:r>
        <w:tab/>
        <w:t>Šablona CA5.1 shrnuje celkové úpravy, které je nutno provést v jednotlivých složkách kapitálu (vykázané v šabloně CA1 v souladu s konečnými ustanoveními) v důsledku uplatnění přechodných ustanovení. Prvky této šablony představují „úpravy“ jednotlivých složek kapitálu uvedených v šabloně CA1 a mají poukázat na dopady přechodných ustanovení na tyto složky kapitálu;</w:t>
      </w:r>
    </w:p>
    <w:p w14:paraId="7232AD29" w14:textId="77777777" w:rsidR="00CC7D2C" w:rsidRPr="002A677E" w:rsidRDefault="00CC7D2C" w:rsidP="00886567">
      <w:pPr>
        <w:pStyle w:val="InstructionsText2"/>
        <w:numPr>
          <w:ilvl w:val="0"/>
          <w:numId w:val="0"/>
        </w:numPr>
        <w:ind w:left="993"/>
      </w:pPr>
      <w:r>
        <w:t>b)</w:t>
      </w:r>
      <w:r>
        <w:tab/>
        <w:t xml:space="preserve">Šablona 5.2 uvádí další podrobnosti k výpočtu nástrojů, pro něž platí zachování právních účinků a které nepředstavují státní podporu. </w:t>
      </w:r>
    </w:p>
    <w:bookmarkStart w:id="54" w:name="_Toc307386943"/>
    <w:p w14:paraId="1D29FCFA" w14:textId="77777777" w:rsidR="00CC7D2C" w:rsidRPr="002A677E" w:rsidRDefault="00CC7D2C" w:rsidP="00886567">
      <w:pPr>
        <w:pStyle w:val="InstructionsText2"/>
        <w:numPr>
          <w:ilvl w:val="0"/>
          <w:numId w:val="0"/>
        </w:numPr>
      </w:pPr>
      <w:r>
        <w:fldChar w:fldCharType="begin"/>
      </w:r>
      <w:r>
        <w:instrText xml:space="preserve"> seq paragraphs </w:instrText>
      </w:r>
      <w:r>
        <w:fldChar w:fldCharType="separate"/>
      </w:r>
      <w:r>
        <w:t>18</w:t>
      </w:r>
      <w:r>
        <w:fldChar w:fldCharType="end"/>
      </w:r>
      <w:r>
        <w:t>.</w:t>
      </w:r>
      <w:r>
        <w:tab/>
        <w:t>V prvních čtyřech sloupcích instituce vykazují úpravy kmenového kapitálu tier 1, vedlejšího kapitálu tier 1 a kapitálu tier 2, jakož i částku, kterou lze považovat za rizikově vážená aktiva. Instituce jsou rovněž povinny vykazovat použitelný procentní podíl ve sloupci 0050 a způsobilou částku bez zohlednění přechodných ustanovení ve sloupci 0060.</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19</w:t>
      </w:r>
      <w:r>
        <w:fldChar w:fldCharType="end"/>
      </w:r>
      <w:r>
        <w:t>.</w:t>
      </w:r>
      <w:r>
        <w:tab/>
        <w:t>Instituce vyplňují položky v šabloně CA5 pouze po dobu platnosti přechodných ustanovení v souladu s částí desátou nařízení (EU) č. 575/2013.</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20</w:t>
      </w:r>
      <w:r>
        <w:fldChar w:fldCharType="end"/>
      </w:r>
      <w:r>
        <w:t>.</w:t>
      </w:r>
      <w:r>
        <w:tab/>
        <w:t>Některými přechodnými ustanoveními jsou stanoveny odpočty od kapitálu tier 1. V takovém případě se zbytková částka odpočtu či odpočtů odečte od kapitálu tier 1 a jestliže je výše vedlejšího kapitálu tier 1 nedostatečná, aby tuto částku absorbovala, přebytek se odečte od kmenového kapitálu tier 1.</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1.6.2.</w:t>
      </w:r>
      <w:r>
        <w:tab/>
        <w:t>C 05.01 – PŘECHODNÁ USTANOVENÍ (CA5.1)</w:t>
      </w:r>
      <w:bookmarkEnd w:id="55"/>
      <w:bookmarkEnd w:id="56"/>
      <w:r>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21</w:t>
      </w:r>
      <w:r>
        <w:fldChar w:fldCharType="end"/>
      </w:r>
      <w:r>
        <w:t>.</w:t>
      </w:r>
      <w:r>
        <w:tab/>
        <w:t xml:space="preserve">V šabloně CA5.1 instituce vykazují přechodná ustanovení vztahující se na složky kapitálu, jak je stanoveno v článcích 465 až 491, 494a a 494b nařízení (EU) č. 575/2013, ve srovnání s uplatňováním konečných ustanovení stanovených v části druhé hlavě II uvedeného nařízení (EU) č. 575/2013. </w:t>
      </w:r>
    </w:p>
    <w:p w14:paraId="60637655"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22</w:t>
      </w:r>
      <w:r>
        <w:fldChar w:fldCharType="end"/>
      </w:r>
      <w:r>
        <w:t>.</w:t>
      </w:r>
      <w:r>
        <w:tab/>
        <w:t>V řádcích 0060 až 0065 instituce vykazují údaje o přechodných ustanoveních k nástrojům, pro něž platí zachování právních účinků. Číselné údaje, které se vykazují v řádku 0060 šablony CA5.1, odrážejí přechodná ustanovení obsažená v nařízení (EU) č. 575/2013 (ve znění použitelném do 26. června 2019) a lze je odvodit z odpovídajících oddílů šablony CA5.2. V řádcích 0061 až 0065 je zachycen dopad přechodných ustanovení článků 494a a 494b nařízení (EU) č. 575/2013.</w:t>
      </w:r>
    </w:p>
    <w:p w14:paraId="62BF86C6"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23</w:t>
      </w:r>
      <w:r>
        <w:fldChar w:fldCharType="end"/>
      </w:r>
      <w:r>
        <w:t>.</w:t>
      </w:r>
      <w:r>
        <w:tab/>
        <w:t>V řádcích 0070 až 0092 instituce vykazují údaje o přechodných ustanoveních k menšinovým podílům a nástrojům zahrnovaným do vedlejšího kapitálu tier 1 a kapitálu tier 2 vydaným dceřinými podniky (v souladu s články 479 a 480 nařízení (EU) č. 575/2013).</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24</w:t>
      </w:r>
      <w:r>
        <w:fldChar w:fldCharType="end"/>
      </w:r>
      <w:r>
        <w:t>.</w:t>
      </w:r>
      <w:r>
        <w:tab/>
        <w:t>V řádku 0100 a následujících řádcích instituce vykazují údaje o dopadu přechodných ustanovení na nerealizované zisky a ztráty, odpočty, dodatečné filtry a odpočty a IFRS 9.</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25</w:t>
      </w:r>
      <w:r>
        <w:fldChar w:fldCharType="end"/>
      </w:r>
      <w:r>
        <w:t>.</w:t>
      </w:r>
      <w:r>
        <w:tab/>
        <w:t xml:space="preserve">Mohou nastat situace, kdy přechodné odpočty od kmenového kapitálu tier 1, vedlejšího kapitálu tier 1 nebo kapitálu tier 2 přesáhnou výši kmenového kapitálu tier 1, vedlejšího kapitálu tier 1 nebo kapitálu tier 2 instituce. Tento dopad – vyplývá-li z přechodných ustanovení – se vykazuje v šabloně CA1 za využití příslušných buněk. V důsledku toho úpravy uvedené ve sloupcích šablony CA5 neobsahují žádné efekty přelévání v případě, že není k dispozici dostatečný kapitál.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lastRenderedPageBreak/>
        <w:t>1.6.2.1</w:t>
      </w:r>
      <w:r>
        <w:tab/>
        <w:t>Pokyny pro konkrétní pozice</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Sloupce</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kmenového kapitálu tier 1</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vedlejšího kapitálu tier 1</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kapitálu tier 2</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rizikově vážených aktiv</w:t>
            </w:r>
          </w:p>
          <w:p w14:paraId="2AB1533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Ve sloupci 0040 se uvádí příslušné částky, jimiž se upraví celkový objem rizikové expozice uvedené v čl. 92 odst. 3</w:t>
            </w:r>
            <w:r>
              <w:t xml:space="preserve"> nařízení (EU) č. 575/2013</w:t>
            </w:r>
            <w:r>
              <w:rPr>
                <w:rStyle w:val="InstructionsTabelleText"/>
                <w:rFonts w:ascii="Times New Roman" w:hAnsi="Times New Roman"/>
                <w:sz w:val="24"/>
              </w:rPr>
              <w:t xml:space="preserve"> v důsledku přechodných ustanovení. Vykazované částky zohlední uplatnění ustanovení kapitoly 2 nebo 3 hlavy II části třetí nebo hlavy IV části třetí v souladu s čl. 92 odst. 4 </w:t>
            </w:r>
            <w:r>
              <w:t>nařízení (EU) č. 575/2013</w:t>
            </w:r>
            <w:r>
              <w:rPr>
                <w:rStyle w:val="InstructionsTabelleText"/>
                <w:rFonts w:ascii="Times New Roman" w:hAnsi="Times New Roman"/>
                <w:sz w:val="24"/>
              </w:rPr>
              <w:t>. To znamená, že přechodné částky spadající pod kapitolu 2 nebo 3 hlavy II části třetí se vykazují jako objemy rizikově vážených expozic, avšak přechodné částky spadající pod hlavu IV části třetí představují kapitálové požadavky vynásobené faktorem 12,5.</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Zatímco sloupce 0010 až 0030 jsou přímo vázány na šablonu CA1, úpravy celkového objemu rizikové expozice nemají přímou vazbu na příslušné šablony týkající se úvěrového rizika. Pokud se na celkový objem rizikové expozice vztahují v důsledku přechodných ustanovení úpravy, tyto úpravy se přímo zohledňují v šablonách CR SA, CR IRB, CR EQU IRB, MKR SA TDI, MKR SA EQU nebo MKR IM. Tyto dopady se dodatečně vykazují ve sloupci 0040 šablony CA5.1. Uvedené částky jsou pak pouze doplňkovými položkami.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Použitelný procentní podíl</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Způsobilá částka bez přechodných ustanovení</w:t>
            </w:r>
          </w:p>
          <w:p w14:paraId="0688C62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V tomto sloupci se uvádí částka za každý nástroj, a to před uplatněním přechodných ustanovení, jedná se tedy o základní částku, z níž se vypočítávají úpravy.</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t>Řádky</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Celkové úpravy</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V tomto řádku je zobrazen celkový dopad přechodných úprav učiněných v různých druzích kapitálu doplněný o rizikově vážené částky vyplývající z těchto úprav.</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Nástroje, pro něž platí zachování právních účinků</w:t>
            </w:r>
          </w:p>
          <w:p w14:paraId="5D53743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Články 483 až 491 </w:t>
            </w:r>
            <w:r>
              <w:rPr>
                <w:rFonts w:ascii="Times New Roman" w:hAnsi="Times New Roman"/>
                <w:sz w:val="24"/>
              </w:rPr>
              <w:t>nařízení (EU) č. 575/2013</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t>V tomto řádku je zobrazen celkový dopad nástrojů, jejichž právní účinky jsou přechodně zachovány, a to u různých druhů kapitálu.</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Nástroje, které nepředstavují státní podporu</w:t>
            </w:r>
          </w:p>
          <w:p w14:paraId="2E34CAEA" w14:textId="77777777"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lastRenderedPageBreak/>
              <w:t>Částky, které mají být vykázány, se získávají ze sloupce 060 šablony CA5.2.</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Nástroje vydané prostřednictvím jednotek pro speciální účel</w:t>
            </w:r>
          </w:p>
          <w:p w14:paraId="28A4DB45"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Článek 494a </w:t>
            </w:r>
            <w:r>
              <w:rPr>
                <w:rFonts w:ascii="Times New Roman" w:hAnsi="Times New Roman"/>
                <w:sz w:val="24"/>
              </w:rPr>
              <w:t>nařízení (EU) č. 575/2013</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 xml:space="preserve">Nástroje vydané před 27. červnem 2019, které nesplňují kritéria způsobilosti týkající se pravomoci k odpisu a konverzi podle článku 59 </w:t>
            </w:r>
            <w:r>
              <w:rPr>
                <w:rFonts w:ascii="Times New Roman" w:hAnsi="Times New Roman"/>
                <w:sz w:val="24"/>
              </w:rPr>
              <w:t>směrnice 2014/59/EU</w:t>
            </w:r>
            <w:r>
              <w:rPr>
                <w:rStyle w:val="InstructionsTabelleberschrift"/>
                <w:rFonts w:ascii="Times New Roman" w:hAnsi="Times New Roman"/>
                <w:sz w:val="24"/>
              </w:rPr>
              <w:t xml:space="preserve"> nebo jsou předmětem dohod o vzájemném započtení nebo nettingu</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494b </w:t>
            </w:r>
            <w:r>
              <w:rPr>
                <w:rFonts w:ascii="Times New Roman" w:hAnsi="Times New Roman"/>
                <w:sz w:val="24"/>
              </w:rPr>
              <w:t>nařízení (EU) č. 575/2013</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Instituce vykazují objem nástrojů spadajících do oblasti působnosti článku 494b </w:t>
            </w:r>
            <w:r>
              <w:rPr>
                <w:rFonts w:ascii="Times New Roman" w:hAnsi="Times New Roman"/>
                <w:sz w:val="24"/>
              </w:rPr>
              <w:t>nařízení (EU) č. 575/2013</w:t>
            </w:r>
            <w:r>
              <w:rPr>
                <w:rStyle w:val="InstructionsTabelleberschrift"/>
                <w:rFonts w:ascii="Times New Roman" w:hAnsi="Times New Roman"/>
                <w:b w:val="0"/>
                <w:sz w:val="24"/>
                <w:u w:val="none"/>
              </w:rPr>
              <w:t xml:space="preserve">, které nesplňují jedno nebo více kritérií způsobilosti uvedených v čl. 52 odst. 1 písm. p), q) a r) </w:t>
            </w:r>
            <w:r>
              <w:rPr>
                <w:rFonts w:ascii="Times New Roman" w:hAnsi="Times New Roman"/>
                <w:sz w:val="24"/>
              </w:rPr>
              <w:t xml:space="preserve">uvedeného nařízení </w:t>
            </w:r>
            <w:r>
              <w:rPr>
                <w:rStyle w:val="InstructionsTabelleberschrift"/>
                <w:rFonts w:ascii="Times New Roman" w:hAnsi="Times New Roman"/>
                <w:b w:val="0"/>
                <w:sz w:val="24"/>
                <w:u w:val="none"/>
              </w:rPr>
              <w:t xml:space="preserve">nebo v čl. 63 písm. n), o) a p) </w:t>
            </w:r>
            <w:r>
              <w:rPr>
                <w:rFonts w:ascii="Times New Roman" w:hAnsi="Times New Roman"/>
                <w:sz w:val="24"/>
              </w:rPr>
              <w:t>uvedeného nařízení</w:t>
            </w:r>
            <w:r>
              <w:rPr>
                <w:rStyle w:val="InstructionsTabelleberschrift"/>
                <w:rFonts w:ascii="Times New Roman" w:hAnsi="Times New Roman"/>
                <w:b w:val="0"/>
                <w:sz w:val="24"/>
                <w:u w:val="none"/>
              </w:rPr>
              <w:t>.</w:t>
            </w:r>
          </w:p>
          <w:p w14:paraId="26471CE7"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případě nástrojů kapitálu tier 2 způsobilých v souladu s čl. 494b odst. 2</w:t>
            </w:r>
            <w:r>
              <w:rPr>
                <w:rFonts w:ascii="Times New Roman" w:hAnsi="Times New Roman"/>
                <w:sz w:val="24"/>
              </w:rPr>
              <w:t xml:space="preserve"> nařízení (EU) č. 575/2013 </w:t>
            </w:r>
            <w:r>
              <w:rPr>
                <w:rStyle w:val="InstructionsTabelleberschrift"/>
                <w:rFonts w:ascii="Times New Roman" w:hAnsi="Times New Roman"/>
                <w:b w:val="0"/>
                <w:sz w:val="24"/>
                <w:u w:val="none"/>
              </w:rPr>
              <w:t xml:space="preserve">musí být dodržena ustanovení o umořování stanovená v článku 64 </w:t>
            </w:r>
            <w:r>
              <w:rPr>
                <w:rFonts w:ascii="Times New Roman" w:hAnsi="Times New Roman"/>
                <w:sz w:val="24"/>
              </w:rPr>
              <w:t>uvedeného nařízení</w:t>
            </w:r>
            <w:r>
              <w:rPr>
                <w:rStyle w:val="InstructionsTabelleberschrift"/>
                <w:rFonts w:ascii="Times New Roman" w:hAnsi="Times New Roman"/>
                <w:b w:val="0"/>
                <w:sz w:val="24"/>
                <w:u w:val="none"/>
              </w:rPr>
              <w:t>.</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Z toho: Nástroje, u nichž při výkonu pravomocí podle článku 59 směrnice 2014/59/EU není právně nebo smluvně povinný odpis nebo konverze</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článku 494b, čl. 52 odst. 1 písm. p) a čl. 63 písm. n) </w:t>
            </w:r>
            <w:r>
              <w:rPr>
                <w:rFonts w:ascii="Times New Roman" w:hAnsi="Times New Roman"/>
                <w:sz w:val="24"/>
              </w:rPr>
              <w:t>nařízení (EU) č. 575/2013</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Instituce vykazují objem nástrojů spadajících do oblasti působnosti článku 494b </w:t>
            </w:r>
            <w:r>
              <w:rPr>
                <w:rFonts w:ascii="Times New Roman" w:hAnsi="Times New Roman"/>
                <w:sz w:val="24"/>
              </w:rPr>
              <w:t>nařízení (EU) č. 575/2013,</w:t>
            </w:r>
            <w:r>
              <w:rPr>
                <w:rStyle w:val="InstructionsTabelleberschrift"/>
                <w:rFonts w:ascii="Times New Roman" w:hAnsi="Times New Roman"/>
                <w:b w:val="0"/>
                <w:sz w:val="24"/>
                <w:u w:val="none"/>
              </w:rPr>
              <w:t xml:space="preserve"> které nesplňují kritéria způsobilosti uvedená v čl. 52 odst. 1 písm. p) nebo v čl. 63 písm. n) uvedeného nařízení.</w:t>
            </w:r>
          </w:p>
          <w:p w14:paraId="6243954E"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se týká také nástrojů, které navíc nesplňují kritéria způsobilosti uvedená v čl. 52 odst. 1 písm. q) nebo r)</w:t>
            </w:r>
            <w:r>
              <w:rPr>
                <w:rFonts w:ascii="Times New Roman" w:hAnsi="Times New Roman"/>
                <w:sz w:val="24"/>
              </w:rPr>
              <w:t xml:space="preserve"> nařízení (EU) č. 575/2013 </w:t>
            </w:r>
            <w:r>
              <w:rPr>
                <w:rStyle w:val="InstructionsTabelleberschrift"/>
                <w:rFonts w:ascii="Times New Roman" w:hAnsi="Times New Roman"/>
                <w:b w:val="0"/>
                <w:sz w:val="24"/>
                <w:u w:val="none"/>
              </w:rPr>
              <w:t>nebo v čl. 63 písm. o) nebo p)</w:t>
            </w:r>
            <w:r>
              <w:rPr>
                <w:rFonts w:ascii="Times New Roman" w:hAnsi="Times New Roman"/>
                <w:sz w:val="24"/>
              </w:rPr>
              <w:t xml:space="preserve"> uvedeného nařízení</w:t>
            </w:r>
            <w:r>
              <w:rPr>
                <w:rStyle w:val="InstructionsTabelleberschrift"/>
                <w:rFonts w:ascii="Times New Roman" w:hAnsi="Times New Roman"/>
                <w:b w:val="0"/>
                <w:sz w:val="24"/>
                <w:u w:val="none"/>
              </w:rPr>
              <w:t>.</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Z toho: Nástroje, které se řídí právem třetí země a nepodléhají účinnému a vymahatelnému výkonu pravomocí podle článku 59 směrnice 2014/59/EU</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494b, čl. 52 odst. 1 písm. q) a čl. 63 písm. o) </w:t>
            </w:r>
            <w:r>
              <w:rPr>
                <w:rFonts w:ascii="Times New Roman" w:hAnsi="Times New Roman"/>
                <w:sz w:val="24"/>
              </w:rPr>
              <w:t>nařízení (EU) č. 575/2013</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Instituce vykazují objem nástrojů spadajících do oblasti působnosti článku 494b </w:t>
            </w:r>
            <w:r>
              <w:rPr>
                <w:rFonts w:ascii="Times New Roman" w:hAnsi="Times New Roman"/>
                <w:sz w:val="24"/>
              </w:rPr>
              <w:t>nařízení (EU) č. 575/2013</w:t>
            </w:r>
            <w:r>
              <w:rPr>
                <w:rStyle w:val="InstructionsTabelleberschrift"/>
                <w:rFonts w:ascii="Times New Roman" w:hAnsi="Times New Roman"/>
                <w:b w:val="0"/>
                <w:sz w:val="24"/>
                <w:u w:val="none"/>
              </w:rPr>
              <w:t>, které nesplňují kritéria způsobilosti uvedená v čl. 52 odst. 1 písm. q) nebo v čl. 63 písm. o)</w:t>
            </w:r>
            <w:r>
              <w:rPr>
                <w:rFonts w:ascii="Times New Roman" w:hAnsi="Times New Roman"/>
                <w:sz w:val="24"/>
              </w:rPr>
              <w:t xml:space="preserve"> uvedeného nařízení</w:t>
            </w:r>
            <w:r>
              <w:rPr>
                <w:rStyle w:val="InstructionsTabelleberschrift"/>
                <w:rFonts w:ascii="Times New Roman" w:hAnsi="Times New Roman"/>
                <w:b w:val="0"/>
                <w:sz w:val="24"/>
                <w:u w:val="none"/>
              </w:rPr>
              <w:t>.</w:t>
            </w:r>
          </w:p>
          <w:p w14:paraId="6BD5AA77"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To se týká také nástrojů, které navíc nesplňují kritéria způsobilosti uvedená v čl. 52 odst. 1 písm. p) nebo r) </w:t>
            </w:r>
            <w:r>
              <w:rPr>
                <w:rFonts w:ascii="Times New Roman" w:hAnsi="Times New Roman"/>
                <w:sz w:val="24"/>
              </w:rPr>
              <w:t>nařízení (EU) č. 575/2013</w:t>
            </w:r>
            <w:r>
              <w:rPr>
                <w:rStyle w:val="InstructionsTabelleberschrift"/>
                <w:rFonts w:ascii="Times New Roman" w:hAnsi="Times New Roman"/>
                <w:b w:val="0"/>
                <w:sz w:val="24"/>
                <w:u w:val="none"/>
              </w:rPr>
              <w:t xml:space="preserve"> nebo v čl. 63 písm. n) nebo p)</w:t>
            </w:r>
            <w:r>
              <w:rPr>
                <w:rFonts w:ascii="Times New Roman" w:hAnsi="Times New Roman"/>
                <w:sz w:val="24"/>
              </w:rPr>
              <w:t xml:space="preserve"> uvedeného nařízení</w:t>
            </w:r>
            <w:r>
              <w:rPr>
                <w:rStyle w:val="InstructionsTabelleberschrift"/>
                <w:rFonts w:ascii="Times New Roman" w:hAnsi="Times New Roman"/>
                <w:b w:val="0"/>
                <w:sz w:val="24"/>
                <w:u w:val="none"/>
              </w:rPr>
              <w:t>.</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Z toho: Nástroje, které jsou předmětem dohod o vzájemném započtení nebo nettingu</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článku 494b, čl. 52 odst. 1 písm. r) a čl. 63 písm. p)</w:t>
            </w:r>
            <w:r>
              <w:rPr>
                <w:rFonts w:ascii="Times New Roman" w:hAnsi="Times New Roman"/>
                <w:sz w:val="24"/>
              </w:rPr>
              <w:t xml:space="preserve"> nařízení (EU) č. 575/2013</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Instituce vykazují objem nástrojů spadajících do oblasti působnosti článku 494b </w:t>
            </w:r>
            <w:r>
              <w:rPr>
                <w:rFonts w:ascii="Times New Roman" w:hAnsi="Times New Roman"/>
                <w:sz w:val="24"/>
              </w:rPr>
              <w:t xml:space="preserve">nařízení (EU) č. 575/2013, </w:t>
            </w:r>
            <w:r>
              <w:rPr>
                <w:rStyle w:val="InstructionsTabelleberschrift"/>
                <w:rFonts w:ascii="Times New Roman" w:hAnsi="Times New Roman"/>
                <w:b w:val="0"/>
                <w:sz w:val="24"/>
                <w:u w:val="none"/>
              </w:rPr>
              <w:t xml:space="preserve">které nesplňují kritéria způsobilosti uvedená v čl. 52 odst. 1 písm. r) </w:t>
            </w:r>
            <w:r>
              <w:rPr>
                <w:rFonts w:ascii="Times New Roman" w:hAnsi="Times New Roman"/>
                <w:sz w:val="24"/>
              </w:rPr>
              <w:t xml:space="preserve">uvedeného nařízení </w:t>
            </w:r>
            <w:r>
              <w:rPr>
                <w:rStyle w:val="InstructionsTabelleberschrift"/>
                <w:rFonts w:ascii="Times New Roman" w:hAnsi="Times New Roman"/>
                <w:b w:val="0"/>
                <w:sz w:val="24"/>
                <w:u w:val="none"/>
              </w:rPr>
              <w:t>nebo v čl. 63 písm. p) nařízení.</w:t>
            </w:r>
          </w:p>
          <w:p w14:paraId="55CA01D9"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se týká také nástrojů, které navíc nesplňují kritéria způsobilosti uvedená v čl. 52 odst. 1 písm. p) nebo q)</w:t>
            </w:r>
            <w:r>
              <w:rPr>
                <w:rFonts w:ascii="Times New Roman" w:hAnsi="Times New Roman"/>
                <w:sz w:val="24"/>
              </w:rPr>
              <w:t xml:space="preserve"> nařízení (EU) č. 575/2013 </w:t>
            </w:r>
            <w:r>
              <w:rPr>
                <w:rStyle w:val="InstructionsTabelleberschrift"/>
                <w:rFonts w:ascii="Times New Roman" w:hAnsi="Times New Roman"/>
                <w:b w:val="0"/>
                <w:sz w:val="24"/>
                <w:u w:val="none"/>
              </w:rPr>
              <w:t>nebo v čl. 63 písm. n) nebo o)</w:t>
            </w:r>
            <w:r>
              <w:rPr>
                <w:rFonts w:ascii="Times New Roman" w:hAnsi="Times New Roman"/>
                <w:sz w:val="24"/>
              </w:rPr>
              <w:t xml:space="preserve"> uvedeného nařízení</w:t>
            </w:r>
            <w:r>
              <w:rPr>
                <w:rStyle w:val="InstructionsTabelleberschrift"/>
                <w:rFonts w:ascii="Times New Roman" w:hAnsi="Times New Roman"/>
                <w:b w:val="0"/>
                <w:sz w:val="24"/>
                <w:u w:val="none"/>
              </w:rPr>
              <w:t>.</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Menšinové podíly a ekvivalenty</w:t>
            </w:r>
          </w:p>
          <w:p w14:paraId="43EE34B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Články 479 a 480 </w:t>
            </w:r>
            <w:r>
              <w:rPr>
                <w:rFonts w:ascii="Times New Roman" w:hAnsi="Times New Roman"/>
                <w:sz w:val="24"/>
              </w:rPr>
              <w:t>nařízení (EU) č. 575/2013</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V tomto řádku jsou zobrazeny dopady přechodných ustanovení na menšinové podíly způsobilé jako kmenový kapitál tier 1, na kvalifikované nástroje zahrnované do kapitálu tier 1 způsobilé jako konsolidovaný vedlejší kapitál tier 1 a kvalifikovaný kapitál způsobilý jako konsolidovaný kapitál tier 2.</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Kapitálové nástroje a položky, které nelze považovat za menšinové podíly</w:t>
            </w:r>
          </w:p>
          <w:p w14:paraId="0C0141BB"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Článek 479 </w:t>
            </w:r>
            <w:r>
              <w:t>nařízení (EU) č. 575/2013</w:t>
            </w:r>
          </w:p>
          <w:p w14:paraId="27436818"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Částka, která má být vykázána ve sloupci 060 tohoto řádku, odpovídá částce, již lze považovat za konsolidované rezervní fondy v souladu s výše uvedeným nařízením.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Přechodné uznání menšinových podílů v rámci konsolidovaného kapitálu</w:t>
            </w:r>
          </w:p>
          <w:p w14:paraId="3BF8A48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Články 84 a 480 </w:t>
            </w:r>
            <w:r>
              <w:t>nařízení (EU) č. 575/2013</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Částka, která má být vykázána ve sloupci 0060 tohoto řádku, představuje způsobilou částku bez přechodných ustanovení.</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Přechodné uznání kvalifikovaného vedlejšího kapitálu tier 1 v rámci konsolidovaného kapitálu</w:t>
            </w:r>
          </w:p>
          <w:p w14:paraId="4A315E2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Články 85 a 480 </w:t>
            </w:r>
            <w:r>
              <w:t>nařízení (EU) č. 575/2013</w:t>
            </w:r>
          </w:p>
          <w:p w14:paraId="62F5745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0060 tohoto řádku, představuje způsobilou částku bez přechodných ustanovení.</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Přechodné uznání kvalifikovaného kapitálu tier 2 v rámci konsolidovaného kapitálu</w:t>
            </w:r>
          </w:p>
          <w:p w14:paraId="16966D7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Články 87 a 480 </w:t>
            </w:r>
            <w:r>
              <w:t>nařízení (EU) č. 575/2013</w:t>
            </w:r>
          </w:p>
          <w:p w14:paraId="23F1372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0060 tohoto řádku, představuje způsobilou částku bez přechodných ustanovení.</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Další přechodné úpravy</w:t>
            </w:r>
          </w:p>
          <w:p w14:paraId="632B4D61"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Články 468 až 478 a článek 481 </w:t>
            </w:r>
            <w:r>
              <w:rPr>
                <w:rFonts w:ascii="Times New Roman" w:hAnsi="Times New Roman"/>
                <w:sz w:val="24"/>
              </w:rPr>
              <w:t>nařízení (EU) č. 575/2013</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V tomto řádku je zobrazen celkový dopad přechodných úprav učiněných v odpočtech od různých druhů kapitálu, v nerealizovaných ziscích a ztrátách a dodatečných filtrech a odpočtech a tento dopad je doplněn o rizikově vážené částky vyplývající z těchto úprav.</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Nerealizované zisky a ztráty z některých dluhových expozic vůči ústředním vládám, regionálním vládám, místním orgánům a subjektům veřejného sektoru</w:t>
            </w:r>
          </w:p>
          <w:p w14:paraId="1495FA2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Text"/>
                <w:rFonts w:ascii="Times New Roman" w:hAnsi="Times New Roman"/>
                <w:sz w:val="24"/>
              </w:rPr>
              <w:t xml:space="preserve">Článek 468 </w:t>
            </w:r>
            <w:r>
              <w:t>nařízení (EU) č. 575/2013</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Z toho: částka A</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Částka A vypočtená podle vzorce uvedeného v čl. 468 odst. 1</w:t>
            </w:r>
            <w:r>
              <w:t xml:space="preserve"> nařízení (EU) č. 575/2013</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Odpočty</w:t>
            </w:r>
          </w:p>
          <w:p w14:paraId="51CECA1B"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Ustanovení čl. 36 odst. 1 a článků 469 až 478 </w:t>
            </w:r>
            <w:r>
              <w:rPr>
                <w:rFonts w:ascii="Times New Roman" w:hAnsi="Times New Roman"/>
                <w:sz w:val="24"/>
              </w:rPr>
              <w:t>nařízení (EU) č. 575/2013</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Tento řádek odráží celkový dopad přechodných ustanovení na odpočty.</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Odložené daňové pohledávky, které jsou závislé na budoucím zisku a nevyplývají z přechodných rozdílů</w:t>
            </w:r>
          </w:p>
          <w:p w14:paraId="08D3639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Ustanovení čl. 36 odst. 1 písm. c), čl. 469 odst. 1 a čl. 472 odst. 5 a článku 478 </w:t>
            </w:r>
            <w:r>
              <w:t>nařízení (EU) č. 575/2013</w:t>
            </w:r>
          </w:p>
          <w:p w14:paraId="30A136A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Při určování částky výše uvedených odložených daňových pohledávek, která má být odečtena, berou instituce v úvahu ustanovení článku 38 </w:t>
            </w:r>
            <w:r>
              <w:t>nařízení (EU) č. 575/2013</w:t>
            </w:r>
            <w:r>
              <w:rPr>
                <w:rStyle w:val="InstructionsTabelleText"/>
                <w:rFonts w:ascii="Times New Roman" w:hAnsi="Times New Roman"/>
                <w:sz w:val="24"/>
              </w:rPr>
              <w:t xml:space="preserve"> týkající se snížení odložených daňových pohledávek o odložené daňové závazky.</w:t>
            </w:r>
          </w:p>
          <w:p w14:paraId="33BB975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ve sloupci 0060 tohoto řádku: celková částka podle čl. 469 odst. 1 </w:t>
            </w:r>
            <w:r>
              <w:t>nařízení (EU) č. 575/2013</w:t>
            </w:r>
            <w:r>
              <w:rPr>
                <w:rStyle w:val="InstructionsTabelleText"/>
                <w:rFonts w:ascii="Times New Roman" w:hAnsi="Times New Roman"/>
                <w:sz w:val="24"/>
              </w:rPr>
              <w:t>.</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Odložené daňové pohledávky, které jsou závislé na budoucím zisku a vyplývají z přechodných rozdílů, a nástroje zahrnované do kmenového kapitálu tier 1 subjektů finančního sektoru, v nichž má instituce významnou investici</w:t>
            </w:r>
          </w:p>
          <w:p w14:paraId="308D07D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Ustanovení čl. 470 odst. 2 a 3 </w:t>
            </w:r>
            <w:r>
              <w:t>nařízení (EU) č. 575/2013</w:t>
            </w:r>
          </w:p>
          <w:p w14:paraId="2D7218B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ve sloupci 0060 tohoto řádku: ustanovení čl. 470 odst. 1 </w:t>
            </w:r>
            <w:r>
              <w:t>nařízení (EU) č. 575/2013</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Odložené daňové pohledávky závislé na budoucím zisku a vyplývající z přechodných rozdílů</w:t>
            </w:r>
          </w:p>
          <w:p w14:paraId="6C5EEFFD"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Ustanovení čl. 469 odst. 1 písm. c), čl. 472 odst. 5 a článku 478 </w:t>
            </w:r>
            <w:r>
              <w:t>nařízení (EU) č. 575/2013</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 xml:space="preserve">Část odložených daňových pohledávek, které jsou závislé na budoucím zisku a vyplývají z přechodných rozdílů, která překračuje 10% prahovou hodnotu v čl. 470 odst. 2 písm. a) </w:t>
            </w:r>
            <w:r>
              <w:t>nařízení (EU) č. 575/2013</w:t>
            </w:r>
            <w:r>
              <w:rPr>
                <w:rStyle w:val="InstructionsTabelleText"/>
                <w:rFonts w:ascii="Times New Roman" w:hAnsi="Times New Roman"/>
                <w:sz w:val="24"/>
              </w:rPr>
              <w:t>.</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Výjimka z odpočtu kapitálových investic do pojišťoven od položek kmenového kapitálu tier 1</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471 </w:t>
            </w:r>
            <w:r>
              <w:t>nařízení (EU) č. 575/2013</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Dodatečné filtry a odpočty</w:t>
            </w:r>
          </w:p>
          <w:p w14:paraId="4A80E244"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Článek 481 </w:t>
            </w:r>
            <w:r>
              <w:rPr>
                <w:rFonts w:ascii="Times New Roman" w:hAnsi="Times New Roman"/>
                <w:sz w:val="24"/>
              </w:rPr>
              <w:t>nařízení (EU) č. 575/2013</w:t>
            </w:r>
          </w:p>
          <w:p w14:paraId="4D75191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Tento řádek odráží celkový dopad přechodných ustanovení na dodatečné filtry a odpočty.</w:t>
            </w:r>
          </w:p>
          <w:p w14:paraId="204FEDF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V položce 1.3.3. instituce v souladu s článkem 481 </w:t>
            </w:r>
            <w:r>
              <w:t>nařízení (EU) č. 575/2013</w:t>
            </w:r>
            <w:r>
              <w:rPr>
                <w:rStyle w:val="InstructionsTabelleText"/>
                <w:rFonts w:ascii="Times New Roman" w:hAnsi="Times New Roman"/>
                <w:sz w:val="24"/>
              </w:rPr>
              <w:t xml:space="preserve"> vykazují údaj týkající se filtrů a odpočtů, které vyžadují vnitrostátní prováděcí opatření k článkům 57 a 66 směrnice 2006/48/ES a články 13 a 16 směrnice 2006/49/ES a které nejsou požadovány v souladu s částí druhou.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t>1.6.3</w:t>
      </w:r>
      <w:r>
        <w:tab/>
        <w:t>C 05.02 – NÁSTROJE SE ZACHOVÁNÍM PRÁVNÍCH ÚČINKŮ: NÁSTROJE NEPŘEDSTAVUJÍCÍ STÁTNÍ PODPORU (CA5.2)</w:t>
      </w:r>
      <w:bookmarkEnd w:id="63"/>
      <w:bookmarkEnd w:id="64"/>
      <w:bookmarkEnd w:id="65"/>
      <w:r>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26</w:t>
      </w:r>
      <w:r>
        <w:fldChar w:fldCharType="end"/>
      </w:r>
      <w:r>
        <w:t>.</w:t>
      </w:r>
      <w:r>
        <w:tab/>
        <w:t>Instituce vykazují údaje týkající se přechodných ustanovení k nástrojům, pro něž platí zachování právních účinků a které nepředstavují státní podporu (články 484 až 491 nařízení (EU) č. 575/2013).</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1.6.3.1</w:t>
      </w:r>
      <w:r>
        <w:tab/>
        <w:t>Pokyny pro konkrétní pozice</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Sloupce</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Objem nástrojů plus související emisní ážio</w:t>
            </w:r>
          </w:p>
          <w:p w14:paraId="57EE6D2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484 odst. 3, 4 a 5 </w:t>
            </w:r>
            <w:r>
              <w:rPr>
                <w:rFonts w:ascii="Times New Roman" w:hAnsi="Times New Roman"/>
                <w:sz w:val="24"/>
              </w:rPr>
              <w:t>nařízení (EU) č. 575/2013</w:t>
            </w:r>
          </w:p>
          <w:p w14:paraId="70DF674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Nástroje, které jsou způsobilé pro každý příslušný řádek, včetně s nimi souvisejícího emisního ážia.</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Základ pro výpočet limitu</w:t>
            </w:r>
          </w:p>
          <w:p w14:paraId="02F52F4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486 odst. 2, 3 a 4 </w:t>
            </w:r>
            <w:r>
              <w:rPr>
                <w:rFonts w:ascii="Times New Roman" w:hAnsi="Times New Roman"/>
                <w:sz w:val="24"/>
              </w:rPr>
              <w:t>nařízení (EU) č.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Použitelný procentní podíl</w:t>
            </w:r>
          </w:p>
          <w:p w14:paraId="775F53A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486 odst. 5 </w:t>
            </w:r>
            <w:r>
              <w:rPr>
                <w:rFonts w:ascii="Times New Roman" w:hAnsi="Times New Roman"/>
                <w:sz w:val="24"/>
              </w:rPr>
              <w:t>nařízení (EU) č.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Mezní hodnota</w:t>
            </w:r>
          </w:p>
          <w:p w14:paraId="3094B820"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486 odst. 2 až 5 </w:t>
            </w:r>
            <w:r>
              <w:rPr>
                <w:rFonts w:ascii="Times New Roman" w:hAnsi="Times New Roman"/>
                <w:sz w:val="24"/>
              </w:rPr>
              <w:t>nařízení (EU) č.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Částka, která převyšuje limity zachování právních účinků</w:t>
            </w:r>
          </w:p>
          <w:p w14:paraId="70C8059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486 odst. 2 až 5 </w:t>
            </w:r>
            <w:r>
              <w:rPr>
                <w:rFonts w:ascii="Times New Roman" w:hAnsi="Times New Roman"/>
                <w:sz w:val="24"/>
              </w:rPr>
              <w:t>nařízení (EU) č.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Celková částka související se zachováním právních účinků</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Částka, která má být vykázána, se rovná částkám uvedeným v příslušných sloupcích řádku 060 šablony CA5.1.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Řádky</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Nástroje, jež vyhovují ustanovením čl. 57 písm. a) směrnice 2006/48/ES</w:t>
            </w:r>
          </w:p>
          <w:p w14:paraId="532731B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484 odst. 3 </w:t>
            </w:r>
            <w:r>
              <w:rPr>
                <w:rFonts w:ascii="Times New Roman" w:hAnsi="Times New Roman"/>
                <w:sz w:val="24"/>
              </w:rPr>
              <w:t>nařízení (EU) č. 575/2013</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Nástroje, jež vyhovují ustanovením čl. 57 písm. ca) a čl. 154 odst. 8 a 9 směrnice 2006/48/ES, s výhradou omezení v článku 489 nařízení (EU) č. 575/2013</w:t>
            </w:r>
          </w:p>
          <w:p w14:paraId="51F58E3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484 odst. 4 </w:t>
            </w:r>
            <w:r>
              <w:rPr>
                <w:rFonts w:ascii="Times New Roman" w:hAnsi="Times New Roman"/>
                <w:sz w:val="24"/>
              </w:rPr>
              <w:t>nařízení (EU) č.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Celková výše nástrojů bez kupní opce nebo pobídky ke splacení</w:t>
            </w:r>
          </w:p>
          <w:p w14:paraId="040CC4ED"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 xml:space="preserve">Ustanovení čl. 484 odst. 4 a článku 489 </w:t>
            </w:r>
            <w:r>
              <w:rPr>
                <w:rFonts w:ascii="Times New Roman" w:hAnsi="Times New Roman"/>
                <w:sz w:val="24"/>
              </w:rPr>
              <w:t>nařízení (EU) č. 575/2013</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Nástroje s kupní opcí a pobídkou ke splacení, pro něž platí zachování právních účinků</w:t>
            </w:r>
          </w:p>
          <w:p w14:paraId="31393B5C"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 xml:space="preserve">Článek 489 </w:t>
            </w:r>
            <w:r>
              <w:rPr>
                <w:rFonts w:ascii="Times New Roman" w:hAnsi="Times New Roman"/>
                <w:sz w:val="24"/>
              </w:rPr>
              <w:t>nařízení (EU) č.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Nástroje s kupní opcí uplatnitelnou po datu pro vykazování, které po datu skutečné splatnosti splňují podmínky podle článku 52 nařízení (EU) č. 575/2013</w:t>
            </w:r>
          </w:p>
          <w:p w14:paraId="59A4A4E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489 odst. 3 a čl. 491 písm. a) </w:t>
            </w:r>
            <w:r>
              <w:rPr>
                <w:rFonts w:ascii="Times New Roman" w:hAnsi="Times New Roman"/>
                <w:sz w:val="24"/>
              </w:rPr>
              <w:t>nařízení (EU) č. 575/2013</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Nástroje s kupní opcí uplatnitelnou po datu pro vykazování, které po datu skutečné splatnosti nesplňují podmínky podle článku 52 nařízení (EU) č. 575/2013</w:t>
            </w:r>
          </w:p>
          <w:p w14:paraId="048F329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489 odst. 5 a čl. 491 písm. a) </w:t>
            </w:r>
            <w:r>
              <w:rPr>
                <w:rFonts w:ascii="Times New Roman" w:hAnsi="Times New Roman"/>
                <w:sz w:val="24"/>
              </w:rPr>
              <w:t>nařízení (EU) č. 575/2013</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Částka, která má být vykázána, zahrnuje související emisní ážio.</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Nástroje s kupní opcí uplatnitelnou do 20. července 2011 včetně, které po datu skutečné splatnosti nesplňují podmínky podle článku 52 nařízení (EU) č. 575/2013</w:t>
            </w:r>
          </w:p>
          <w:p w14:paraId="7B8E2D41"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489 odst. 6 a čl. 491 písm. c) </w:t>
            </w:r>
            <w:r>
              <w:rPr>
                <w:rFonts w:ascii="Times New Roman" w:hAnsi="Times New Roman"/>
                <w:sz w:val="24"/>
              </w:rPr>
              <w:t>nařízení (EU) č. 575/2013</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Přebytek nad rámec limitu nástrojů zahrnovaných do kmenového kapitálu tier 1, pro něž platí zachování právních účinků</w:t>
            </w:r>
          </w:p>
          <w:p w14:paraId="021928E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487 odst. 1 </w:t>
            </w:r>
            <w:r>
              <w:rPr>
                <w:rFonts w:ascii="Times New Roman" w:hAnsi="Times New Roman"/>
                <w:sz w:val="24"/>
              </w:rPr>
              <w:t>nařízení (EU) č. 575/2013</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K přebytku nad rámec limitu nástrojů zahrnovaných do kmenového kapitálu tier 1, pro něž platí zachování právních účinků, se přistupuje jako k nástrojům, jejichž právní účinky mohou odpovídat nástrojům zahrnovaným do vedlejšího kapitálu tier 1.</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Položky, jež vyhovují ustanovením čl. 57 písm. e), f), g) nebo h) směrnice 2006/48/ES, s výhradou omezení uvedených v článku 490 nařízení (EU) č. 575/2013</w:t>
            </w:r>
          </w:p>
          <w:p w14:paraId="284C24AA"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 xml:space="preserve">Ustanovení čl. 484 odst. 5 </w:t>
            </w:r>
            <w:r>
              <w:rPr>
                <w:rFonts w:ascii="Times New Roman" w:hAnsi="Times New Roman"/>
                <w:sz w:val="24"/>
              </w:rPr>
              <w:t>nařízení (EU) č.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Celková výše položek bez pobídky ke splacení</w:t>
            </w:r>
          </w:p>
          <w:p w14:paraId="3A4F871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Článek 490 </w:t>
            </w:r>
            <w:r>
              <w:rPr>
                <w:rFonts w:ascii="Times New Roman" w:hAnsi="Times New Roman"/>
                <w:sz w:val="24"/>
              </w:rPr>
              <w:t>nařízení (EU) č.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Položky s pobídkou ke splacení, pro něž platí zachování právních účinků</w:t>
            </w:r>
          </w:p>
          <w:p w14:paraId="773B0F0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Článek 490 </w:t>
            </w:r>
            <w:r>
              <w:rPr>
                <w:rFonts w:ascii="Times New Roman" w:hAnsi="Times New Roman"/>
                <w:sz w:val="24"/>
              </w:rPr>
              <w:t>nařízení (EU) č.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Položky s kupní opcí uplatnitelnou po datu pro vykazování, které po datu skutečné splatnosti splňují podmínky podle článku 63 nařízení (EU) č. 575/2013</w:t>
            </w:r>
          </w:p>
          <w:p w14:paraId="78E9816A"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490 odst. 3 a čl. 491 písm. a) </w:t>
            </w:r>
            <w:r>
              <w:rPr>
                <w:rFonts w:ascii="Times New Roman" w:hAnsi="Times New Roman"/>
                <w:sz w:val="24"/>
              </w:rPr>
              <w:t>nařízení (EU) č. 575/2013</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Položky s kupní opcí uplatnitelnou po datu pro vykazování, které po datu skutečné splatnosti nesplňují podmínky podle článku 63 nařízení (EU) č. 575/2013</w:t>
            </w:r>
          </w:p>
          <w:p w14:paraId="42333F81"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490 odst. 5 a čl. 491 písm. a) </w:t>
            </w:r>
            <w:r>
              <w:rPr>
                <w:rFonts w:ascii="Times New Roman" w:hAnsi="Times New Roman"/>
                <w:sz w:val="24"/>
              </w:rPr>
              <w:t>nařízení (EU) č. 575/2013</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Položky s kupní opcí uplatnitelnou do 20. července 2011 včetně, které po datu skutečné splatnosti nesplňují podmínky podle článku 63 nařízení (EU) č. 575/2013</w:t>
            </w:r>
          </w:p>
          <w:p w14:paraId="4D02A05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490 odst. 6 a čl. 491 písm. c) </w:t>
            </w:r>
            <w:r>
              <w:rPr>
                <w:rFonts w:ascii="Times New Roman" w:hAnsi="Times New Roman"/>
                <w:sz w:val="24"/>
              </w:rPr>
              <w:t>nařízení (EU) č. 575/2013</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Přebytek nad rámec limitu nástrojů zahrnovaných do vedlejšího kapitálu tier 1, pro něž platí zachování právních účinků</w:t>
            </w:r>
          </w:p>
          <w:p w14:paraId="5B5CC60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487 odst. 2 </w:t>
            </w:r>
            <w:r>
              <w:rPr>
                <w:rFonts w:ascii="Times New Roman" w:hAnsi="Times New Roman"/>
                <w:sz w:val="24"/>
              </w:rPr>
              <w:t xml:space="preserve">nařízení (EU) č. 575/2013 </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K přebytku nad rámec limitu nástrojů zahrnovaných do vedlejšího kapitálu tier 1, pro něž platí zachování právních účinků, se přistupuje jako k nástrojům, jejichž právní účinky mohou přechodně odpovídat nástrojům zahrnovaným do kapitálu tier 2.</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r>
      <w:r>
        <w:rPr>
          <w:color w:val="444444"/>
          <w:sz w:val="20"/>
        </w:rPr>
        <w:t>Nařízení Komise v přenesené pravomoci (EU) č. 241/2014 ze dne 7. ledna 2014, kterým se doplňuje nařízení Evropského parlamentu a Rady (EU) č. 575/2013, pokud jde o regulační technické normy pro kapitálové požadavky na instituce (Úř. věst. L 74, 14.3.2014, s. 8)</w:t>
      </w:r>
      <w:r>
        <w:rPr>
          <w:rStyle w:val="Emphasis"/>
          <w:color w:val="444444"/>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B0254B"/>
    <w:rsid w:val="00B349B5"/>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cs-CZ"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cs-CZ"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cs-CZ"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cs-CZ"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cs-CZ"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cs-CZ"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cs-CZ"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cs-CZ"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cs-CZ"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cs-CZ"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cs-CZ"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cs-CZ"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cs-CZ"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cs-CZ"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cs-CZ"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cs-CZ"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cs-CZ"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cs-CZ"/>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cs-CZ"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434FB3-9971-4154-BB13-5E5C4098368D}"/>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67</Pages>
  <Words>21770</Words>
  <Characters>119082</Characters>
  <Application>Microsoft Office Word</Application>
  <DocSecurity>0</DocSecurity>
  <Lines>3133</Lines>
  <Paragraphs>1929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2024-12-16T10:42:00Z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2024-12-16T10:42:28Z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f88884bb-7ec7-412a-b0ee-d2e2e1511654</vt:lpwstr>
  </property>
  <property fmtid="{D5CDD505-2E9C-101B-9397-08002B2CF9AE}" pid="10" name="MSIP_Label_6bd9ddd1-4d20-43f6-abfa-fc3c07406f94_ContentBits">
    <vt:lpwstr>0</vt:lpwstr>
  </property>
</Properties>
</file>